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CE" w:rsidRDefault="00533E22">
      <w:pPr>
        <w:pStyle w:val="Balk1"/>
        <w:spacing w:before="0" w:after="0"/>
        <w:jc w:val="center"/>
        <w:rPr>
          <w:rFonts w:ascii="Arial" w:eastAsia="Arial Unicode MS" w:hAnsi="Arial" w:cs="Arial"/>
          <w:bCs w:val="0"/>
          <w:kern w:val="0"/>
          <w:sz w:val="20"/>
          <w:szCs w:val="20"/>
          <w:lang w:val="en-US"/>
        </w:rPr>
      </w:pPr>
      <w:r>
        <w:rPr>
          <w:rFonts w:ascii="Arial" w:eastAsia="Arial Unicode MS" w:hAnsi="Arial" w:cs="Arial"/>
          <w:bCs w:val="0"/>
          <w:kern w:val="0"/>
          <w:sz w:val="20"/>
          <w:szCs w:val="20"/>
          <w:lang w:val="en-US"/>
        </w:rPr>
        <w:t>TÜRKİYE BİLİMSEL VE TEKNOLOJİK ARAŞTIRMA KURUMU (TÜBİTAK)</w:t>
      </w:r>
    </w:p>
    <w:p w:rsidR="004146CE" w:rsidRDefault="00533E22">
      <w:pPr>
        <w:pStyle w:val="Balk1"/>
        <w:spacing w:before="0" w:after="0"/>
        <w:jc w:val="center"/>
        <w:rPr>
          <w:rFonts w:ascii="Arial" w:eastAsia="Arial Unicode MS" w:hAnsi="Arial" w:cs="Arial"/>
          <w:bCs w:val="0"/>
          <w:kern w:val="0"/>
          <w:sz w:val="20"/>
          <w:szCs w:val="20"/>
          <w:lang w:val="en-US"/>
        </w:rPr>
      </w:pPr>
      <w:r>
        <w:rPr>
          <w:rFonts w:ascii="Arial" w:eastAsia="Arial Unicode MS" w:hAnsi="Arial" w:cs="Arial"/>
          <w:bCs w:val="0"/>
          <w:kern w:val="0"/>
          <w:sz w:val="20"/>
          <w:szCs w:val="20"/>
          <w:lang w:val="en-US"/>
        </w:rPr>
        <w:t>BİLİM İNSANI DESTEK PROGRAMLARI BAŞKANLIĞI (BİDEB)</w:t>
      </w:r>
    </w:p>
    <w:p w:rsidR="004146CE" w:rsidRDefault="00533E22">
      <w:pPr>
        <w:pStyle w:val="Balk1"/>
        <w:spacing w:before="0" w:after="0"/>
        <w:jc w:val="center"/>
        <w:rPr>
          <w:rFonts w:ascii="Arial" w:eastAsia="Arial Unicode MS" w:hAnsi="Arial" w:cs="Arial"/>
          <w:bCs w:val="0"/>
          <w:kern w:val="0"/>
          <w:sz w:val="20"/>
          <w:szCs w:val="20"/>
          <w:lang w:val="en-US"/>
        </w:rPr>
      </w:pPr>
      <w:r>
        <w:rPr>
          <w:rFonts w:ascii="Arial" w:eastAsia="Arial Unicode MS" w:hAnsi="Arial" w:cs="Arial"/>
          <w:bCs w:val="0"/>
          <w:kern w:val="0"/>
          <w:sz w:val="20"/>
          <w:szCs w:val="20"/>
          <w:lang w:val="en-US"/>
        </w:rPr>
        <w:t>2218 YURT İÇİ DOKTORA SONRASI ARAŞTIRMA BURS PROGRAMI</w:t>
      </w:r>
    </w:p>
    <w:p w:rsidR="004146CE" w:rsidRDefault="00533E22">
      <w:pPr>
        <w:pStyle w:val="Balk1"/>
        <w:spacing w:before="0" w:after="0"/>
        <w:jc w:val="center"/>
        <w:rPr>
          <w:rFonts w:ascii="Arial" w:eastAsia="Arial Unicode MS" w:hAnsi="Arial" w:cs="Arial"/>
          <w:bCs w:val="0"/>
          <w:kern w:val="0"/>
          <w:sz w:val="20"/>
          <w:szCs w:val="20"/>
          <w:lang w:val="en-US"/>
        </w:rPr>
      </w:pPr>
      <w:r>
        <w:rPr>
          <w:rFonts w:ascii="Arial" w:eastAsia="Arial Unicode MS" w:hAnsi="Arial" w:cs="Arial"/>
          <w:bCs w:val="0"/>
          <w:kern w:val="0"/>
          <w:sz w:val="20"/>
          <w:szCs w:val="20"/>
          <w:lang w:val="en-US"/>
        </w:rPr>
        <w:t>KABUL VE TAAHHÜT BEYAN FORMU</w:t>
      </w:r>
    </w:p>
    <w:p w:rsidR="004146CE" w:rsidRDefault="004146CE">
      <w:pPr>
        <w:jc w:val="both"/>
        <w:rPr>
          <w:rFonts w:ascii="Arial" w:hAnsi="Arial" w:cs="Arial"/>
          <w:b/>
          <w:sz w:val="18"/>
          <w:szCs w:val="18"/>
        </w:rPr>
      </w:pPr>
    </w:p>
    <w:p w:rsidR="004146CE" w:rsidRDefault="00533E22">
      <w:pPr>
        <w:pStyle w:val="GvdeMetni"/>
        <w:numPr>
          <w:ilvl w:val="0"/>
          <w:numId w:val="1"/>
        </w:numPr>
        <w:ind w:left="714" w:hanging="357"/>
        <w:jc w:val="both"/>
        <w:rPr>
          <w:rFonts w:ascii="Arial" w:hAnsi="Arial" w:cs="Arial"/>
          <w:sz w:val="18"/>
          <w:szCs w:val="18"/>
        </w:rPr>
      </w:pPr>
      <w:bookmarkStart w:id="0" w:name="OLE_LINK1"/>
      <w:bookmarkEnd w:id="0"/>
      <w:r>
        <w:rPr>
          <w:rFonts w:ascii="Arial" w:hAnsi="Arial" w:cs="Arial"/>
          <w:sz w:val="18"/>
          <w:szCs w:val="18"/>
        </w:rPr>
        <w:t>Adayların, kendilerine tahsis edilen bursa hak kazandıkları tarihten itibaren 12 ay içinde proje sözleşmesini imzalayarak çalışmalarına başlamaları gerekmektedir. Bu süre içinde GYK tarafından kabul edilecek geçerli bir mazeret (sağlık, ailevi sebepler, mücbir sebep vb.) öne sürmeksizin proje çalışmalarına başlamayanların bursu başlatılmaz ve ilgili yıl ve dönem için bursiyerlik haklarını kaybederler. Bursun başlama tarihi araştırma desteği için imzalanacak sözleşmedeki başlama tarihinden önce olamaz.</w:t>
      </w:r>
    </w:p>
    <w:p w:rsidR="004146CE" w:rsidRDefault="00533E22">
      <w:pPr>
        <w:pStyle w:val="GvdeMetni"/>
        <w:numPr>
          <w:ilvl w:val="0"/>
          <w:numId w:val="1"/>
        </w:numPr>
        <w:ind w:left="714" w:hanging="357"/>
        <w:jc w:val="both"/>
        <w:rPr>
          <w:rFonts w:ascii="Arial" w:hAnsi="Arial" w:cs="Arial"/>
          <w:sz w:val="18"/>
          <w:szCs w:val="18"/>
        </w:rPr>
      </w:pPr>
      <w:r>
        <w:rPr>
          <w:rFonts w:ascii="Arial" w:hAnsi="Arial" w:cs="Arial"/>
          <w:color w:val="000000"/>
          <w:sz w:val="18"/>
          <w:szCs w:val="18"/>
        </w:rPr>
        <w:t>Bu program kapsamında burs alanlar, aynı anda TÜBİTAK’ın diğer programlarından burs/ücret/proje teşvik ikramiyesi (PTİ) alamaz. Eğer burs/ücret/PTİ alıyorlarsa, bu haklarından feragat ettikleri takdirde bu program kapsamında burs ve araştırma desteği almaya ve diğer araştırma projelerine devam edebilirler.</w:t>
      </w:r>
    </w:p>
    <w:p w:rsidR="004146CE" w:rsidRDefault="00533E22">
      <w:pPr>
        <w:pStyle w:val="GvdeMetni"/>
        <w:numPr>
          <w:ilvl w:val="0"/>
          <w:numId w:val="1"/>
        </w:numPr>
        <w:ind w:left="714" w:hanging="357"/>
        <w:jc w:val="both"/>
        <w:rPr>
          <w:rFonts w:ascii="Arial" w:hAnsi="Arial" w:cs="Arial"/>
          <w:sz w:val="18"/>
          <w:szCs w:val="18"/>
        </w:rPr>
      </w:pPr>
      <w:r>
        <w:rPr>
          <w:rFonts w:ascii="Arial" w:hAnsi="Arial" w:cs="Arial"/>
          <w:color w:val="000000"/>
          <w:sz w:val="18"/>
          <w:szCs w:val="18"/>
        </w:rPr>
        <w:t>Aday, doktora sonrası araştırmasını, doktorasını/uzmanlığını almış olduğu üniversitenin dışında başka bir kurum/kuruluştayapacak/yapıyor olmalıdır.</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Aday, ücretli olarak bir kuruluşta çalışıyorsa, doktora/uzmanlık sonrası araştırmasını, çalışmakta olduğu kuruluşun dışında başka bir kurum/kuruluşta yapacak/yapıyor olmalıdır.</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Bursiyerler, araştırmaları ile ilgili olarak, burslarının başlama tarihinden itibaren desteklendikleri süreye bağlı olarak TÜBİTAK tarafından belirtilen formatta ve sözleşmede belirlenen tarihlerde gelişme ve sonuç raporlarını ulaştırmakla yükümlüdürler. Bu raporlarda bursiyerlerin danışmanı/danışmanlarınında yazılı onayı/onayları bulunmalıdır. Gelişme raporunun belirtilen süre içerisinde gelmemesi halinde burs ödemeleri durdurulur ve bursiyere 2 aylık ek süre verilebilir. Verilen süre içerisinde gelişme raporlarını sunan ve gelişme raporu izleyici tarafından kabul edilen bursiyerlerin burs ödemeleri kaldığı yerden devam eder.</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 xml:space="preserve">TÜBİTAK tarafından belirtilen formatta hazırlanacak sonuç raporunun araştırma destek sözleşmesinin bitiş tarihini izleyen en geç 2 ay içerisinde e-bideb sistemine yüklemesi gerekmektedir. Bursiyer, bu süre içinde gerekçeli başvurusu ile ek süre talep edebilir. Başvurusunun GYK tarafından uygun bulunması halinde bursiyere sonuç raporunu ulaştırması için ek süre verilebilir. </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 xml:space="preserve">Gelişme ve sonuç raporlarını verilecek ek süre dahil zamanında BİDEB’e sunmayan bursiyerlere verilen araştırma ve burs desteği, bursiyerin kusur durumuna göre GYK kararı ve Başkanlık onayı ile yürürlükten kaldırılabilir veya iptal edilebilir. </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Gelişme ve sonuç raporları TÜBİTAK tarafından görevlendirilen alanında uzman izleyiciler tarafından değerlendirilir. İzleyiciler tarafından uygun bulunmayan gelişme ve sonuç raporlarının 2 ay içinde düzeltilmesi talep edilir. Gelişme ve sonuç raporları için istenen revizyonları 2 aylık süre içerisinde BİDEB’e sunmayan veya revize raporu kabul edilmeyen bursiyerin bursu, kusur durumuna göre GYK kararı ve Başkanlık onayı ile yürürlükten kaldırılır veya iptal edilir.</w:t>
      </w:r>
    </w:p>
    <w:p w:rsidR="004146CE" w:rsidRDefault="00533E22">
      <w:pPr>
        <w:pStyle w:val="GvdeMetni"/>
        <w:numPr>
          <w:ilvl w:val="0"/>
          <w:numId w:val="1"/>
        </w:numPr>
        <w:ind w:left="714" w:hanging="357"/>
        <w:jc w:val="both"/>
        <w:rPr>
          <w:rFonts w:ascii="Arial" w:hAnsi="Arial" w:cs="Arial"/>
          <w:color w:val="000000"/>
          <w:sz w:val="18"/>
          <w:szCs w:val="18"/>
        </w:rPr>
      </w:pPr>
      <w:r>
        <w:rPr>
          <w:rFonts w:ascii="Arial" w:hAnsi="Arial" w:cs="Arial"/>
          <w:color w:val="000000"/>
          <w:sz w:val="18"/>
          <w:szCs w:val="18"/>
        </w:rPr>
        <w:t>Program kapsamında yapılan yayınlarda TÜBİTAK desteğinin belirtilmesi ve varsa yayın örneğinin gelişme ve sonuç raporlarının ekinde e-bideb sistemine yüklenmesi gerekmektedir.</w:t>
      </w:r>
    </w:p>
    <w:p w:rsidR="004146CE" w:rsidRDefault="00533E22">
      <w:pPr>
        <w:pStyle w:val="ListeParagraf"/>
        <w:numPr>
          <w:ilvl w:val="0"/>
          <w:numId w:val="1"/>
        </w:numPr>
        <w:spacing w:after="120"/>
        <w:ind w:left="714" w:hanging="357"/>
        <w:contextualSpacing/>
        <w:jc w:val="both"/>
        <w:rPr>
          <w:rFonts w:ascii="Arial" w:hAnsi="Arial" w:cs="Arial"/>
          <w:color w:val="000000"/>
          <w:sz w:val="18"/>
          <w:szCs w:val="18"/>
        </w:rPr>
      </w:pPr>
      <w:r>
        <w:rPr>
          <w:rFonts w:ascii="Arial" w:hAnsi="Arial" w:cs="Arial"/>
          <w:sz w:val="18"/>
          <w:szCs w:val="18"/>
        </w:rPr>
        <w:t xml:space="preserve">Burs desteği başladıktan sonra mücbir sebeplere dayalı olarak desteğin durdurulmasını gerektiren bir durum ortaya çıkması halinde, bursiyer ve danışman(lar), söz konusu durumun ortaya çıktığı tarihi izleyen 15 gün içerisinde gerekçeli durdurma başvurusunda bulunur. Başvuru GYK tarafından değerlendirilerek durdurulabilir. Durdurma süresi destek süresi boyunca en fazla 12 ay olabilir. Durdurma süresi içinde herhangi bir ödeme yapılmaz. Durdurma kararı verilen proje bursiyer ve danışman (lar) ın talebi ve GYK kararı ile yeniden başlatılabilir. Bu durumda durdurma süresi burs süresine ilave edilir. Durdurma süresi içerisinde, durdurmanın kaldırılması ile ilgili herhangi bir talep gelmemesi durumunda burs ve araştırma desteği, kusur durumuna göre yürürlükten kaldırılır veya iptal edilir. </w:t>
      </w:r>
    </w:p>
    <w:p w:rsidR="004146CE" w:rsidRDefault="00533E22">
      <w:pPr>
        <w:numPr>
          <w:ilvl w:val="0"/>
          <w:numId w:val="1"/>
        </w:numPr>
        <w:tabs>
          <w:tab w:val="left" w:pos="558"/>
        </w:tabs>
        <w:spacing w:after="120"/>
        <w:ind w:left="714" w:hanging="357"/>
        <w:jc w:val="both"/>
        <w:rPr>
          <w:rFonts w:ascii="Arial" w:hAnsi="Arial" w:cs="Arial"/>
          <w:sz w:val="18"/>
          <w:szCs w:val="18"/>
        </w:rPr>
      </w:pPr>
      <w:r>
        <w:rPr>
          <w:rFonts w:ascii="Arial" w:hAnsi="Arial" w:cs="Arial"/>
          <w:sz w:val="18"/>
          <w:szCs w:val="18"/>
        </w:rPr>
        <w:t xml:space="preserve">Kuruma haber verilmeden araştırmanın bırakılması veya ara verilmesi halinde burs iptal edilerek yapılan ödemelerin taahhütname hükümlerine göre yasal faizi </w:t>
      </w:r>
      <w:r>
        <w:rPr>
          <w:rFonts w:ascii="Arial" w:hAnsi="Arial" w:cs="Arial"/>
          <w:color w:val="000000"/>
          <w:sz w:val="18"/>
          <w:szCs w:val="18"/>
        </w:rPr>
        <w:t>ile birlikte geri alınmasına karar verilebilir.</w:t>
      </w:r>
    </w:p>
    <w:p w:rsidR="004146CE" w:rsidRDefault="00533E22">
      <w:pPr>
        <w:pStyle w:val="ListeParagraf"/>
        <w:numPr>
          <w:ilvl w:val="0"/>
          <w:numId w:val="1"/>
        </w:numPr>
        <w:spacing w:after="120"/>
        <w:ind w:left="714" w:hanging="357"/>
        <w:contextualSpacing/>
        <w:jc w:val="both"/>
        <w:rPr>
          <w:rFonts w:ascii="Arial" w:hAnsi="Arial" w:cs="Arial"/>
          <w:color w:val="000000"/>
          <w:sz w:val="18"/>
          <w:szCs w:val="18"/>
        </w:rPr>
      </w:pPr>
      <w:r>
        <w:rPr>
          <w:rFonts w:ascii="Arial" w:hAnsi="Arial" w:cs="Arial"/>
          <w:sz w:val="18"/>
          <w:szCs w:val="18"/>
        </w:rPr>
        <w:t>Mecburi hizmet gerektiren TÜBİTAK burs ya da desteklerinden yararlanmış olanlar, bu programdan burs aldıkları takdirde bu süre mecburi hizmet sürelerinden sayılmaz. Mecburi hizmet süresi burs süresiyle sınırlı olarak dondurulur.</w:t>
      </w:r>
    </w:p>
    <w:p w:rsidR="004146CE" w:rsidRDefault="00533E22">
      <w:pPr>
        <w:pStyle w:val="BalonMetni"/>
        <w:numPr>
          <w:ilvl w:val="0"/>
          <w:numId w:val="1"/>
        </w:numPr>
        <w:spacing w:after="120"/>
        <w:ind w:left="714" w:hanging="357"/>
        <w:contextualSpacing/>
        <w:jc w:val="both"/>
        <w:rPr>
          <w:rFonts w:ascii="Arial" w:hAnsi="Arial" w:cs="Arial"/>
          <w:color w:val="000000"/>
        </w:rPr>
      </w:pPr>
      <w:r>
        <w:rPr>
          <w:rFonts w:ascii="Arial" w:hAnsi="Arial" w:cs="Arial"/>
          <w:color w:val="000000"/>
        </w:rPr>
        <w:t xml:space="preserve">Bursiyerlik süresince; ücretli göreve başlanması, yurt içinde veya dışında başka bir kuruluştan destek alınması, 5 iş gününden fazla süreyle yurt dışına çıkılması, araştırmanın öngörülen tarihten önce bitirilmesi ya da araştırmaya herhangi bir </w:t>
      </w:r>
      <w:r>
        <w:rPr>
          <w:rFonts w:ascii="Arial" w:hAnsi="Arial" w:cs="Arial"/>
        </w:rPr>
        <w:t>nedenle ara verilmesi veya araştırmanın bırakılması gibi her türlü gelişmede burs ödemesi gelişmenin olduğu tarihte durdurulur. Söz konusu durumun ortaya çıktığı tarihi izleyen 10 gün içinde bursiyerin imzasını taşıyan yazı ile BİDEB’e bildirmesi gerekmektedir. Belirtilen yükümlülüğün yerine getirilmemesi nedeniyle fazla ödemeye sebep olunması halinde yapılan fazla ödemeler yasal faizi ile birlikte geri alınır.</w:t>
      </w:r>
    </w:p>
    <w:p w:rsidR="004146CE" w:rsidRDefault="00533E22">
      <w:pPr>
        <w:numPr>
          <w:ilvl w:val="0"/>
          <w:numId w:val="1"/>
        </w:numPr>
        <w:tabs>
          <w:tab w:val="left" w:pos="558"/>
        </w:tabs>
        <w:spacing w:after="120"/>
        <w:ind w:left="714" w:hanging="357"/>
        <w:jc w:val="both"/>
        <w:rPr>
          <w:rFonts w:ascii="Arial" w:hAnsi="Arial" w:cs="Arial"/>
          <w:sz w:val="18"/>
          <w:szCs w:val="18"/>
        </w:rPr>
      </w:pPr>
      <w:r>
        <w:rPr>
          <w:rFonts w:ascii="Arial" w:hAnsi="Arial" w:cs="Arial"/>
          <w:sz w:val="18"/>
          <w:szCs w:val="18"/>
        </w:rPr>
        <w:lastRenderedPageBreak/>
        <w:t xml:space="preserve"> Bursiyer bilimsel değerlendirme sonucu kabul edilen ve desteklenen araştırma konusunu değiştiremez ancak araştırma yaptığı kuruluş, danışman veya araştırma planında değişiklik talep edebilir. Bu durumda Bursiyerin projenin yeni Kurumda yürütülebileceğine dair yeni Kurum yetkilisinden aldığı </w:t>
      </w:r>
      <w:r>
        <w:rPr>
          <w:rFonts w:ascii="Arial" w:hAnsi="Arial" w:cs="Arial"/>
          <w:i/>
          <w:sz w:val="18"/>
          <w:szCs w:val="18"/>
        </w:rPr>
        <w:t xml:space="preserve">“projenin Kurumunda yürütülmesine izin verdiğine, Kurum sıfatı ile projeye gerekli desteği vereceğine, ilgili mevzuat hükümleri ile projeye  ait düzenlenen sözleşme hüküm ve şartlarını bildiğine ve bu hüküm ve şartlara uymayı kabul ve taahhüt ettiğine” </w:t>
      </w:r>
      <w:r>
        <w:rPr>
          <w:rFonts w:ascii="Arial" w:hAnsi="Arial" w:cs="Arial"/>
          <w:sz w:val="18"/>
          <w:szCs w:val="18"/>
        </w:rPr>
        <w:t xml:space="preserve">dair yazıyı ve bursiyere danışmalık yapacak yeni danışman(lar)ın onay yazılarını TÜBİTAK’a iletir. Bu husustaki talep, GYK’nın olumlu görüşü ve Başkanlığın onayı ile kesinleşir . </w:t>
      </w:r>
    </w:p>
    <w:p w:rsidR="004146CE" w:rsidRDefault="00533E22">
      <w:pPr>
        <w:pStyle w:val="GvdeMetni"/>
        <w:numPr>
          <w:ilvl w:val="0"/>
          <w:numId w:val="1"/>
        </w:numPr>
        <w:ind w:left="714" w:hanging="357"/>
        <w:jc w:val="both"/>
        <w:rPr>
          <w:rFonts w:ascii="Arial" w:hAnsi="Arial" w:cs="Arial"/>
          <w:sz w:val="18"/>
          <w:szCs w:val="18"/>
        </w:rPr>
      </w:pPr>
      <w:r>
        <w:rPr>
          <w:rFonts w:ascii="Arial" w:hAnsi="Arial" w:cs="Arial"/>
          <w:sz w:val="18"/>
          <w:szCs w:val="18"/>
        </w:rPr>
        <w:t>Araştırmamın yürütülmesi sırasında evrensel bilimsel araştırma ve yayın etik kurallara uyulması gerekmektedir. Araştırmanın gerektirmesi halinde aday, Etik Kurul Onay belgesi ve gerekli yasal izinleri almakla yükümlüdür. Söz konusu belge ve izinler alınmadan çalışmalara başlanamaz. Bu kurallara uyulmaması halinde TÜBİTAK AYEK ve ENDEK hükümlerince yasal işlem yapılabilir.</w:t>
      </w:r>
    </w:p>
    <w:p w:rsidR="004146CE" w:rsidRDefault="004146CE">
      <w:pPr>
        <w:pStyle w:val="GvdeMetni"/>
        <w:spacing w:after="0"/>
        <w:ind w:left="708"/>
        <w:jc w:val="both"/>
        <w:rPr>
          <w:rFonts w:ascii="Arial" w:hAnsi="Arial" w:cs="Arial"/>
          <w:sz w:val="18"/>
          <w:szCs w:val="18"/>
        </w:rPr>
      </w:pPr>
    </w:p>
    <w:p w:rsidR="004146CE" w:rsidRDefault="00533E22">
      <w:pPr>
        <w:pStyle w:val="GvdeMetni"/>
        <w:spacing w:after="0"/>
        <w:ind w:left="708"/>
        <w:jc w:val="both"/>
        <w:rPr>
          <w:rFonts w:ascii="Arial" w:hAnsi="Arial" w:cs="Arial"/>
          <w:sz w:val="18"/>
          <w:szCs w:val="18"/>
        </w:rPr>
      </w:pPr>
      <w:r>
        <w:rPr>
          <w:rFonts w:ascii="Arial" w:hAnsi="Arial" w:cs="Arial"/>
          <w:sz w:val="18"/>
          <w:szCs w:val="18"/>
        </w:rPr>
        <w:t>Yukarıda belirtilen yükümlülüklerin yanı sıra 2218 – Yurt İçi Doktora Sonrası Araştırma Burs Programı kapsamında sözleşme ve ilgili mevzuatta belirtilen tüm yükümlülükleri yerine getireceğimi ve aksi bir durumda tarafıma yapılan tüm burs ödemelerin yasal faizi ile birlikte geri alınabileceğini</w:t>
      </w:r>
    </w:p>
    <w:p w:rsidR="004146CE" w:rsidRDefault="004146CE">
      <w:pPr>
        <w:pStyle w:val="GvdeMetni"/>
        <w:spacing w:after="0"/>
        <w:ind w:left="720"/>
        <w:jc w:val="both"/>
        <w:rPr>
          <w:rFonts w:ascii="Arial" w:hAnsi="Arial" w:cs="Arial"/>
          <w:sz w:val="18"/>
          <w:szCs w:val="18"/>
        </w:rPr>
      </w:pPr>
    </w:p>
    <w:p w:rsidR="004146CE" w:rsidRDefault="00533E22">
      <w:pPr>
        <w:pStyle w:val="GvdeMetni"/>
        <w:spacing w:after="0"/>
        <w:ind w:left="720"/>
        <w:jc w:val="both"/>
        <w:rPr>
          <w:rFonts w:ascii="Arial" w:hAnsi="Arial" w:cs="Arial"/>
          <w:sz w:val="18"/>
          <w:szCs w:val="18"/>
        </w:rPr>
      </w:pPr>
      <w:r>
        <w:rPr>
          <w:rFonts w:ascii="Arial" w:hAnsi="Arial" w:cs="Arial"/>
          <w:sz w:val="18"/>
          <w:szCs w:val="18"/>
        </w:rPr>
        <w:t>kabul ve taahhüt ederim.</w:t>
      </w:r>
    </w:p>
    <w:tbl>
      <w:tblPr>
        <w:tblpPr w:leftFromText="141" w:rightFromText="141" w:vertAnchor="text" w:horzAnchor="margin" w:tblpXSpec="right" w:tblpY="596"/>
        <w:tblW w:w="5000" w:type="pct"/>
        <w:jc w:val="right"/>
        <w:tblLook w:val="04A0" w:firstRow="1" w:lastRow="0" w:firstColumn="1" w:lastColumn="0" w:noHBand="0" w:noVBand="1"/>
      </w:tblPr>
      <w:tblGrid>
        <w:gridCol w:w="2721"/>
        <w:gridCol w:w="3170"/>
        <w:gridCol w:w="3171"/>
      </w:tblGrid>
      <w:tr w:rsidR="004146CE" w:rsidTr="00AB5C1B">
        <w:trPr>
          <w:trHeight w:val="564"/>
          <w:jc w:val="right"/>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Taahhüt Edenin Kimlik Bilgileri</w:t>
            </w:r>
          </w:p>
        </w:tc>
      </w:tr>
      <w:tr w:rsidR="004146CE"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Adı Soyadı</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r w:rsidR="004146CE" w:rsidTr="00AB5C1B">
        <w:trPr>
          <w:trHeight w:val="851"/>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İletişim Adresi</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r w:rsidR="004146CE"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TC Kimlik No</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r w:rsidR="004146CE"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Telefon Numarası (GSM)</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r w:rsidR="004146CE"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E-Posta Adresi</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r w:rsidR="00F85AB3"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5AB3" w:rsidRDefault="00F85AB3">
            <w:pPr>
              <w:widowControl w:val="0"/>
              <w:jc w:val="both"/>
              <w:rPr>
                <w:rFonts w:ascii="Arial" w:hAnsi="Arial" w:cs="Arial"/>
                <w:b/>
                <w:sz w:val="18"/>
                <w:szCs w:val="18"/>
              </w:rPr>
            </w:pPr>
            <w:r>
              <w:rPr>
                <w:rFonts w:ascii="Arial" w:hAnsi="Arial" w:cs="Arial"/>
                <w:b/>
                <w:sz w:val="18"/>
                <w:szCs w:val="18"/>
              </w:rPr>
              <w:t>IBAN Numarası</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F85AB3" w:rsidRDefault="00F85AB3">
            <w:pPr>
              <w:widowControl w:val="0"/>
              <w:jc w:val="both"/>
              <w:rPr>
                <w:rFonts w:ascii="Arial" w:hAnsi="Arial" w:cs="Arial"/>
                <w:sz w:val="18"/>
                <w:szCs w:val="18"/>
              </w:rPr>
            </w:pPr>
          </w:p>
        </w:tc>
      </w:tr>
      <w:tr w:rsidR="00AB5C1B" w:rsidTr="00AB5C1B">
        <w:trPr>
          <w:trHeight w:val="564"/>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5C1B" w:rsidRDefault="00AB5C1B">
            <w:pPr>
              <w:widowControl w:val="0"/>
              <w:rPr>
                <w:rFonts w:ascii="Arial" w:hAnsi="Arial" w:cs="Arial"/>
                <w:b/>
                <w:sz w:val="18"/>
                <w:szCs w:val="18"/>
              </w:rPr>
            </w:pPr>
            <w:r>
              <w:rPr>
                <w:rFonts w:ascii="Arial" w:hAnsi="Arial" w:cs="Arial"/>
                <w:b/>
                <w:sz w:val="18"/>
                <w:szCs w:val="18"/>
              </w:rPr>
              <w:t>Araştırmanın Başlangıç/Bitiş Tarihi</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B5C1B" w:rsidRDefault="00AB5C1B">
            <w:pPr>
              <w:widowControl w:val="0"/>
              <w:jc w:val="both"/>
              <w:rPr>
                <w:rFonts w:ascii="Arial" w:hAnsi="Arial" w:cs="Arial"/>
                <w:sz w:val="18"/>
                <w:szCs w:val="18"/>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AB5C1B" w:rsidRDefault="00AB5C1B">
            <w:pPr>
              <w:widowControl w:val="0"/>
              <w:jc w:val="both"/>
              <w:rPr>
                <w:rFonts w:ascii="Arial" w:hAnsi="Arial" w:cs="Arial"/>
                <w:sz w:val="18"/>
                <w:szCs w:val="18"/>
              </w:rPr>
            </w:pPr>
          </w:p>
        </w:tc>
      </w:tr>
      <w:tr w:rsidR="004146CE" w:rsidTr="00AB5C1B">
        <w:trPr>
          <w:trHeight w:val="508"/>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rPr>
                <w:rFonts w:ascii="Arial" w:hAnsi="Arial" w:cs="Arial"/>
                <w:b/>
                <w:sz w:val="18"/>
                <w:szCs w:val="18"/>
              </w:rPr>
            </w:pPr>
            <w:r>
              <w:rPr>
                <w:rFonts w:ascii="Arial" w:hAnsi="Arial" w:cs="Arial"/>
                <w:b/>
                <w:sz w:val="18"/>
                <w:szCs w:val="18"/>
              </w:rPr>
              <w:t>Danışmanın Adı Soyadı</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4146CE" w:rsidRPr="009C6022" w:rsidRDefault="009C6022" w:rsidP="009C6022">
            <w:pPr>
              <w:widowControl w:val="0"/>
              <w:jc w:val="both"/>
              <w:rPr>
                <w:rFonts w:ascii="Arial" w:hAnsi="Arial" w:cs="Arial"/>
                <w:sz w:val="18"/>
                <w:szCs w:val="18"/>
              </w:rPr>
            </w:pPr>
            <w:r>
              <w:rPr>
                <w:rFonts w:ascii="Arial" w:hAnsi="Arial" w:cs="Arial"/>
                <w:sz w:val="18"/>
                <w:szCs w:val="18"/>
              </w:rPr>
              <w:t>1. Danışman Adı Soyadı</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4146CE" w:rsidRDefault="009C6022" w:rsidP="009C6022">
            <w:pPr>
              <w:widowControl w:val="0"/>
              <w:jc w:val="both"/>
              <w:rPr>
                <w:rFonts w:ascii="Arial" w:hAnsi="Arial" w:cs="Arial"/>
                <w:sz w:val="18"/>
                <w:szCs w:val="18"/>
              </w:rPr>
            </w:pPr>
            <w:r>
              <w:rPr>
                <w:rFonts w:ascii="Arial" w:hAnsi="Arial" w:cs="Arial"/>
                <w:sz w:val="18"/>
                <w:szCs w:val="18"/>
              </w:rPr>
              <w:t>2. Danışman Adı Soyadı (varsa)</w:t>
            </w:r>
          </w:p>
        </w:tc>
      </w:tr>
      <w:tr w:rsidR="004146CE" w:rsidTr="00AB5C1B">
        <w:trPr>
          <w:trHeight w:val="982"/>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rPr>
                <w:rFonts w:ascii="Arial" w:hAnsi="Arial" w:cs="Arial"/>
                <w:b/>
                <w:sz w:val="18"/>
                <w:szCs w:val="18"/>
              </w:rPr>
            </w:pPr>
            <w:r>
              <w:rPr>
                <w:rFonts w:ascii="Arial" w:hAnsi="Arial" w:cs="Arial"/>
                <w:b/>
                <w:sz w:val="18"/>
                <w:szCs w:val="18"/>
              </w:rPr>
              <w:t>Danışman İmzası</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ind w:firstLine="708"/>
              <w:jc w:val="both"/>
              <w:rPr>
                <w:rFonts w:ascii="Arial" w:hAnsi="Arial" w:cs="Arial"/>
                <w:sz w:val="18"/>
                <w:szCs w:val="18"/>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ind w:firstLine="708"/>
              <w:jc w:val="both"/>
              <w:rPr>
                <w:rFonts w:ascii="Arial" w:hAnsi="Arial" w:cs="Arial"/>
                <w:sz w:val="18"/>
                <w:szCs w:val="18"/>
              </w:rPr>
            </w:pPr>
            <w:bookmarkStart w:id="1" w:name="_GoBack"/>
            <w:bookmarkEnd w:id="1"/>
          </w:p>
        </w:tc>
      </w:tr>
      <w:tr w:rsidR="004146CE" w:rsidTr="00AB5C1B">
        <w:trPr>
          <w:trHeight w:val="976"/>
          <w:jc w:val="right"/>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46CE" w:rsidRDefault="00533E22">
            <w:pPr>
              <w:widowControl w:val="0"/>
              <w:jc w:val="both"/>
              <w:rPr>
                <w:rFonts w:ascii="Arial" w:hAnsi="Arial" w:cs="Arial"/>
                <w:b/>
                <w:sz w:val="18"/>
                <w:szCs w:val="18"/>
              </w:rPr>
            </w:pPr>
            <w:r>
              <w:rPr>
                <w:rFonts w:ascii="Arial" w:hAnsi="Arial" w:cs="Arial"/>
                <w:b/>
                <w:sz w:val="18"/>
                <w:szCs w:val="18"/>
              </w:rPr>
              <w:t>Bursiyerin İmzası</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Pr>
          <w:p w:rsidR="004146CE" w:rsidRDefault="004146CE">
            <w:pPr>
              <w:widowControl w:val="0"/>
              <w:jc w:val="both"/>
              <w:rPr>
                <w:rFonts w:ascii="Arial" w:hAnsi="Arial" w:cs="Arial"/>
                <w:sz w:val="18"/>
                <w:szCs w:val="18"/>
              </w:rPr>
            </w:pPr>
          </w:p>
        </w:tc>
      </w:tr>
    </w:tbl>
    <w:p w:rsidR="004146CE" w:rsidRDefault="004146CE">
      <w:pPr>
        <w:jc w:val="both"/>
        <w:rPr>
          <w:rFonts w:ascii="Arial" w:hAnsi="Arial" w:cs="Arial"/>
          <w:i/>
          <w:sz w:val="18"/>
          <w:szCs w:val="18"/>
        </w:rPr>
      </w:pPr>
    </w:p>
    <w:p w:rsidR="004146CE" w:rsidRDefault="004146CE">
      <w:pPr>
        <w:rPr>
          <w:rFonts w:ascii="Arial" w:hAnsi="Arial" w:cs="Arial"/>
          <w:sz w:val="18"/>
          <w:szCs w:val="18"/>
        </w:rPr>
      </w:pPr>
    </w:p>
    <w:p w:rsidR="004146CE" w:rsidRDefault="00533E22">
      <w:r>
        <w:rPr>
          <w:rFonts w:ascii="Arial" w:hAnsi="Arial" w:cs="Arial"/>
          <w:sz w:val="18"/>
          <w:szCs w:val="18"/>
        </w:rPr>
        <w:br/>
      </w:r>
      <w:r>
        <w:rPr>
          <w:rFonts w:ascii="Arial" w:hAnsi="Arial" w:cs="Arial"/>
          <w:b/>
          <w:i/>
          <w:sz w:val="18"/>
          <w:szCs w:val="18"/>
          <w:vertAlign w:val="superscript"/>
        </w:rPr>
        <w:t>*</w:t>
      </w:r>
      <w:r>
        <w:rPr>
          <w:rFonts w:ascii="Arial" w:hAnsi="Arial" w:cs="Arial"/>
          <w:b/>
          <w:i/>
          <w:sz w:val="18"/>
          <w:szCs w:val="18"/>
        </w:rPr>
        <w:t>Her Sayfa Paraflanacak</w:t>
      </w:r>
    </w:p>
    <w:p w:rsidR="004146CE" w:rsidRDefault="004146CE">
      <w:pPr>
        <w:rPr>
          <w:rFonts w:ascii="Arial" w:hAnsi="Arial" w:cs="Arial"/>
          <w:sz w:val="18"/>
          <w:szCs w:val="18"/>
        </w:rPr>
      </w:pPr>
    </w:p>
    <w:p w:rsidR="004146CE" w:rsidRDefault="00533E22">
      <w:pPr>
        <w:jc w:val="both"/>
        <w:rPr>
          <w:rFonts w:ascii="Arial" w:hAnsi="Arial" w:cs="Arial"/>
          <w:bCs/>
          <w:i/>
          <w:sz w:val="18"/>
          <w:szCs w:val="18"/>
          <w:vertAlign w:val="superscript"/>
        </w:rPr>
      </w:pPr>
      <w:r>
        <w:rPr>
          <w:rFonts w:ascii="Arial" w:hAnsi="Arial" w:cs="Arial"/>
          <w:bCs/>
          <w:i/>
          <w:sz w:val="18"/>
          <w:szCs w:val="18"/>
          <w:vertAlign w:val="superscript"/>
        </w:rPr>
        <w:t xml:space="preserve">          </w:t>
      </w:r>
    </w:p>
    <w:p w:rsidR="004146CE" w:rsidRDefault="004146CE">
      <w:pPr>
        <w:jc w:val="both"/>
        <w:rPr>
          <w:rFonts w:ascii="Arial" w:hAnsi="Arial" w:cs="Arial"/>
          <w:bCs/>
          <w:i/>
          <w:sz w:val="18"/>
          <w:szCs w:val="18"/>
          <w:vertAlign w:val="superscript"/>
        </w:rPr>
      </w:pPr>
    </w:p>
    <w:p w:rsidR="004146CE" w:rsidRDefault="004146CE"/>
    <w:sectPr w:rsidR="004146CE">
      <w:footerReference w:type="default" r:id="rId8"/>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59" w:rsidRDefault="001C2E59">
      <w:r>
        <w:separator/>
      </w:r>
    </w:p>
  </w:endnote>
  <w:endnote w:type="continuationSeparator" w:id="0">
    <w:p w:rsidR="001C2E59" w:rsidRDefault="001C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CE" w:rsidRDefault="00533E22">
    <w:pPr>
      <w:pStyle w:val="GvdeMetni3"/>
      <w:jc w:val="center"/>
      <w:rPr>
        <w:rFonts w:ascii="Arial" w:hAnsi="Arial" w:cs="Arial"/>
        <w:b/>
        <w:bCs/>
        <w:i/>
        <w:iCs/>
        <w:sz w:val="20"/>
        <w:szCs w:val="20"/>
      </w:rPr>
    </w:pPr>
    <w:r>
      <w:rPr>
        <w:rFonts w:ascii="Arial" w:hAnsi="Arial" w:cs="Arial"/>
        <w:b/>
        <w:bCs/>
        <w:i/>
        <w:iCs/>
        <w:sz w:val="20"/>
        <w:szCs w:val="20"/>
      </w:rPr>
      <w:t xml:space="preserve">TÜBİTAK BİLİM İNSANI DESTEK PROGRAMLARI BAŞKANLIĞI </w:t>
    </w:r>
  </w:p>
  <w:p w:rsidR="004146CE" w:rsidRDefault="00533E22">
    <w:pPr>
      <w:pStyle w:val="GvdeMetni3"/>
      <w:jc w:val="center"/>
      <w:rPr>
        <w:rFonts w:ascii="Arial" w:hAnsi="Arial" w:cs="Arial"/>
        <w:b/>
        <w:bCs/>
        <w:i/>
        <w:iCs/>
        <w:sz w:val="20"/>
        <w:szCs w:val="20"/>
      </w:rPr>
    </w:pPr>
    <w:r>
      <w:rPr>
        <w:rFonts w:ascii="Arial" w:hAnsi="Arial" w:cs="Arial"/>
        <w:b/>
        <w:bCs/>
        <w:i/>
        <w:iCs/>
        <w:sz w:val="20"/>
        <w:szCs w:val="20"/>
      </w:rPr>
      <w:t xml:space="preserve">Telefon: 444 66 90  Faks:0 312 427 3321 </w:t>
    </w:r>
  </w:p>
  <w:p w:rsidR="004146CE" w:rsidRDefault="00533E22">
    <w:pPr>
      <w:pStyle w:val="GvdeMetni3"/>
      <w:jc w:val="center"/>
      <w:rPr>
        <w:rFonts w:ascii="Arial" w:hAnsi="Arial" w:cs="Arial"/>
        <w:b/>
        <w:bCs/>
        <w:i/>
        <w:iCs/>
        <w:sz w:val="20"/>
        <w:szCs w:val="20"/>
      </w:rPr>
    </w:pPr>
    <w:r>
      <w:rPr>
        <w:rFonts w:ascii="Arial" w:hAnsi="Arial" w:cs="Arial"/>
        <w:b/>
        <w:bCs/>
        <w:i/>
        <w:iCs/>
        <w:sz w:val="20"/>
        <w:szCs w:val="20"/>
      </w:rPr>
      <w:t>E-mail:bideb2218@tubitak.gov.tr</w:t>
    </w:r>
  </w:p>
  <w:p w:rsidR="004146CE" w:rsidRDefault="004146CE">
    <w:pPr>
      <w:pStyle w:val="Altbilgi"/>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59" w:rsidRDefault="001C2E59">
      <w:r>
        <w:separator/>
      </w:r>
    </w:p>
  </w:footnote>
  <w:footnote w:type="continuationSeparator" w:id="0">
    <w:p w:rsidR="001C2E59" w:rsidRDefault="001C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59D1"/>
    <w:multiLevelType w:val="multilevel"/>
    <w:tmpl w:val="E3640A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D5A4C88"/>
    <w:multiLevelType w:val="multilevel"/>
    <w:tmpl w:val="7826C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CE"/>
    <w:rsid w:val="001C2E59"/>
    <w:rsid w:val="004146CE"/>
    <w:rsid w:val="00533E22"/>
    <w:rsid w:val="009C6022"/>
    <w:rsid w:val="00AB5C1B"/>
    <w:rsid w:val="00F85AB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252F"/>
  <w15:docId w15:val="{3B17A73A-FF08-4968-9BA7-AD16DDB2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4E"/>
    <w:rPr>
      <w:sz w:val="24"/>
      <w:szCs w:val="24"/>
    </w:rPr>
  </w:style>
  <w:style w:type="paragraph" w:styleId="Balk1">
    <w:name w:val="heading 1"/>
    <w:basedOn w:val="Normal"/>
    <w:next w:val="Normal"/>
    <w:link w:val="Balk1Char"/>
    <w:qFormat/>
    <w:rsid w:val="001C6CBD"/>
    <w:pPr>
      <w:keepNext/>
      <w:spacing w:before="240" w:after="60"/>
      <w:outlineLvl w:val="0"/>
    </w:pPr>
    <w:rPr>
      <w:rFonts w:ascii="Cambria" w:hAnsi="Cambria"/>
      <w:b/>
      <w:bCs/>
      <w:kern w:val="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qFormat/>
    <w:rsid w:val="001C6CBD"/>
    <w:rPr>
      <w:rFonts w:ascii="Cambria" w:eastAsia="Times New Roman" w:hAnsi="Cambria" w:cs="Times New Roman"/>
      <w:b/>
      <w:bCs/>
      <w:kern w:val="2"/>
      <w:sz w:val="32"/>
      <w:szCs w:val="32"/>
    </w:rPr>
  </w:style>
  <w:style w:type="character" w:customStyle="1" w:styleId="stbilgiChar">
    <w:name w:val="Üstbilgi Char"/>
    <w:qFormat/>
    <w:rsid w:val="00806599"/>
    <w:rPr>
      <w:sz w:val="24"/>
      <w:szCs w:val="24"/>
    </w:rPr>
  </w:style>
  <w:style w:type="character" w:customStyle="1" w:styleId="AltbilgiChar">
    <w:name w:val="Altbilgi Char"/>
    <w:link w:val="Altbilgi"/>
    <w:qFormat/>
    <w:rsid w:val="00806599"/>
    <w:rPr>
      <w:sz w:val="24"/>
      <w:szCs w:val="24"/>
    </w:rPr>
  </w:style>
  <w:style w:type="character" w:customStyle="1" w:styleId="BalonMetniChar">
    <w:name w:val="Balon Metni Char"/>
    <w:link w:val="BalonMetni"/>
    <w:uiPriority w:val="99"/>
    <w:qFormat/>
    <w:rsid w:val="008E1642"/>
    <w:rPr>
      <w:rFonts w:ascii="Segoe UI" w:eastAsia="Calibri" w:hAnsi="Segoe UI" w:cs="Segoe UI"/>
      <w:sz w:val="18"/>
      <w:szCs w:val="18"/>
      <w:lang w:eastAsia="en-US"/>
    </w:rPr>
  </w:style>
  <w:style w:type="character" w:styleId="AklamaBavurusu">
    <w:name w:val="annotation reference"/>
    <w:basedOn w:val="VarsaylanParagrafYazTipi"/>
    <w:qFormat/>
    <w:rsid w:val="00262B6C"/>
    <w:rPr>
      <w:sz w:val="16"/>
      <w:szCs w:val="16"/>
    </w:rPr>
  </w:style>
  <w:style w:type="character" w:customStyle="1" w:styleId="AklamaMetniChar">
    <w:name w:val="Açıklama Metni Char"/>
    <w:basedOn w:val="VarsaylanParagrafYazTipi"/>
    <w:link w:val="AklamaMetni"/>
    <w:qFormat/>
    <w:rsid w:val="00262B6C"/>
  </w:style>
  <w:style w:type="character" w:customStyle="1" w:styleId="AklamaKonusuChar">
    <w:name w:val="Açıklama Konusu Char"/>
    <w:basedOn w:val="AklamaMetniChar"/>
    <w:link w:val="AklamaKonusu"/>
    <w:qFormat/>
    <w:rsid w:val="00262B6C"/>
    <w:rPr>
      <w:b/>
      <w:bCs/>
    </w:rPr>
  </w:style>
  <w:style w:type="character" w:customStyle="1" w:styleId="ListLabel1">
    <w:name w:val="ListLabel 1"/>
    <w:qFormat/>
    <w:rPr>
      <w:b/>
    </w:rPr>
  </w:style>
  <w:style w:type="character" w:customStyle="1" w:styleId="ListLabel2">
    <w:name w:val="ListLabel 2"/>
    <w:qFormat/>
    <w:rPr>
      <w:rFonts w:eastAsia="Calibri" w:cs="Arial"/>
      <w:b w:val="0"/>
      <w:color w:val="auto"/>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rsid w:val="00AB654E"/>
    <w:pPr>
      <w:spacing w:after="12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GvdeMetni3">
    <w:name w:val="Body Text 3"/>
    <w:basedOn w:val="Normal"/>
    <w:qFormat/>
    <w:rsid w:val="00AB654E"/>
    <w:pPr>
      <w:spacing w:after="120"/>
    </w:pPr>
    <w:rPr>
      <w:sz w:val="16"/>
      <w:szCs w:val="16"/>
    </w:rPr>
  </w:style>
  <w:style w:type="paragraph" w:styleId="NormalWeb">
    <w:name w:val="Normal (Web)"/>
    <w:basedOn w:val="Normal"/>
    <w:qFormat/>
    <w:rsid w:val="00AB654E"/>
    <w:pPr>
      <w:spacing w:beforeAutospacing="1" w:after="119"/>
    </w:pPr>
  </w:style>
  <w:style w:type="paragraph" w:styleId="DipnotMetni">
    <w:name w:val="footnote text"/>
    <w:basedOn w:val="Normal"/>
    <w:semiHidden/>
    <w:rsid w:val="00AB654E"/>
    <w:rPr>
      <w:sz w:val="20"/>
      <w:szCs w:val="20"/>
      <w:lang w:val="en-US" w:eastAsia="en-US"/>
    </w:rPr>
  </w:style>
  <w:style w:type="paragraph" w:customStyle="1" w:styleId="stbilgi">
    <w:name w:val="Üstbilgi"/>
    <w:basedOn w:val="Normal"/>
    <w:qFormat/>
    <w:rsid w:val="00806599"/>
    <w:pPr>
      <w:tabs>
        <w:tab w:val="center" w:pos="4536"/>
        <w:tab w:val="right" w:pos="9072"/>
      </w:tabs>
    </w:pPr>
  </w:style>
  <w:style w:type="paragraph" w:customStyle="1" w:styleId="Altbilgi">
    <w:name w:val="Altbilgi"/>
    <w:basedOn w:val="Normal"/>
    <w:link w:val="AltbilgiChar"/>
    <w:qFormat/>
    <w:rsid w:val="00806599"/>
    <w:pPr>
      <w:tabs>
        <w:tab w:val="center" w:pos="4536"/>
        <w:tab w:val="right" w:pos="9072"/>
      </w:tabs>
    </w:pPr>
  </w:style>
  <w:style w:type="paragraph" w:styleId="ListeParagraf">
    <w:name w:val="List Paragraph"/>
    <w:basedOn w:val="Normal"/>
    <w:uiPriority w:val="34"/>
    <w:qFormat/>
    <w:rsid w:val="009B5483"/>
    <w:pPr>
      <w:ind w:left="708"/>
    </w:pPr>
  </w:style>
  <w:style w:type="paragraph" w:styleId="BalonMetni">
    <w:name w:val="Balloon Text"/>
    <w:basedOn w:val="Normal"/>
    <w:link w:val="BalonMetniChar"/>
    <w:uiPriority w:val="99"/>
    <w:unhideWhenUsed/>
    <w:qFormat/>
    <w:rsid w:val="008E1642"/>
    <w:rPr>
      <w:rFonts w:ascii="Segoe UI" w:eastAsia="Calibri" w:hAnsi="Segoe UI" w:cs="Segoe UI"/>
      <w:sz w:val="18"/>
      <w:szCs w:val="18"/>
      <w:lang w:eastAsia="en-US"/>
    </w:rPr>
  </w:style>
  <w:style w:type="paragraph" w:styleId="AklamaMetni">
    <w:name w:val="annotation text"/>
    <w:basedOn w:val="Normal"/>
    <w:link w:val="AklamaMetniChar"/>
    <w:qFormat/>
    <w:rsid w:val="00262B6C"/>
    <w:rPr>
      <w:sz w:val="20"/>
      <w:szCs w:val="20"/>
    </w:rPr>
  </w:style>
  <w:style w:type="paragraph" w:styleId="AklamaKonusu">
    <w:name w:val="annotation subject"/>
    <w:basedOn w:val="AklamaMetni"/>
    <w:next w:val="AklamaMetni"/>
    <w:link w:val="AklamaKonusuChar"/>
    <w:qFormat/>
    <w:rsid w:val="00262B6C"/>
    <w:rPr>
      <w:b/>
      <w:bCs/>
    </w:rPr>
  </w:style>
  <w:style w:type="paragraph" w:styleId="AltBilgi0">
    <w:name w:val="footer"/>
    <w:basedOn w:val="Normal"/>
  </w:style>
  <w:style w:type="table" w:styleId="TabloKlavuzu">
    <w:name w:val="Table Grid"/>
    <w:basedOn w:val="NormalTablo"/>
    <w:rsid w:val="006F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AA9F-805F-460E-965E-61F37532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5851</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TAAHHÜTNAME</vt:lpstr>
      <vt:lpstr>TAAHHÜTNAME</vt:lpstr>
    </vt:vector>
  </TitlesOfParts>
  <Company>Hewlett-Packard</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TAAHHÜTNAME</dc:title>
  <dc:subject/>
  <dc:creator>Bayg</dc:creator>
  <dc:description/>
  <cp:lastModifiedBy>Toplanti</cp:lastModifiedBy>
  <cp:revision>3</cp:revision>
  <cp:lastPrinted>2013-09-03T14:08:00Z</cp:lastPrinted>
  <dcterms:created xsi:type="dcterms:W3CDTF">2021-08-16T08:06:00Z</dcterms:created>
  <dcterms:modified xsi:type="dcterms:W3CDTF">2021-08-16T08:07:00Z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