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1326" w14:textId="77777777" w:rsidR="0084723E" w:rsidRPr="00F25888" w:rsidRDefault="0084723E" w:rsidP="0084723E">
      <w:pPr>
        <w:spacing w:line="360" w:lineRule="auto"/>
        <w:jc w:val="center"/>
        <w:rPr>
          <w:rFonts w:eastAsia="Calibri"/>
          <w:b/>
          <w:bCs/>
          <w:sz w:val="22"/>
          <w:szCs w:val="22"/>
          <w:lang w:val="tr-TR"/>
        </w:rPr>
      </w:pPr>
      <w:r w:rsidRPr="00F25888">
        <w:rPr>
          <w:rFonts w:eastAsia="Calibri"/>
          <w:b/>
          <w:bCs/>
          <w:sz w:val="22"/>
          <w:szCs w:val="22"/>
          <w:lang w:val="tr-TR"/>
        </w:rPr>
        <w:t>EK-1</w:t>
      </w:r>
    </w:p>
    <w:p w14:paraId="73250CA4" w14:textId="407B6366" w:rsidR="0084723E" w:rsidRPr="00F25888" w:rsidRDefault="0084723E" w:rsidP="0084723E">
      <w:pPr>
        <w:spacing w:line="360" w:lineRule="auto"/>
        <w:jc w:val="center"/>
        <w:rPr>
          <w:rFonts w:eastAsia="Calibri"/>
          <w:b/>
          <w:bCs/>
          <w:sz w:val="22"/>
          <w:szCs w:val="22"/>
          <w:lang w:val="tr-TR"/>
        </w:rPr>
      </w:pPr>
      <w:r w:rsidRPr="00F25888">
        <w:rPr>
          <w:rFonts w:eastAsia="Calibri"/>
          <w:b/>
          <w:bCs/>
          <w:sz w:val="22"/>
          <w:szCs w:val="22"/>
          <w:lang w:val="tr-TR"/>
        </w:rPr>
        <w:t>ESAS SÖZLEŞME TADİL METNİ</w:t>
      </w:r>
    </w:p>
    <w:tbl>
      <w:tblPr>
        <w:tblStyle w:val="TabloKlavuzu"/>
        <w:tblW w:w="9356" w:type="dxa"/>
        <w:tblInd w:w="-1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8"/>
        <w:gridCol w:w="4678"/>
      </w:tblGrid>
      <w:tr w:rsidR="0084723E" w:rsidRPr="00F25888" w14:paraId="319109BA"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6F62EF2E" w14:textId="77777777" w:rsidR="0084723E" w:rsidRPr="00F25888" w:rsidRDefault="0084723E" w:rsidP="00487E2F">
            <w:pPr>
              <w:spacing w:after="200"/>
              <w:jc w:val="center"/>
              <w:rPr>
                <w:b/>
                <w:sz w:val="22"/>
                <w:szCs w:val="22"/>
                <w:lang w:val="tr-TR"/>
              </w:rPr>
            </w:pPr>
            <w:r w:rsidRPr="00F25888">
              <w:rPr>
                <w:rFonts w:eastAsia="Calibri"/>
                <w:b/>
                <w:caps/>
                <w:sz w:val="22"/>
                <w:szCs w:val="22"/>
                <w:lang w:val="tr-TR" w:eastAsia="tr-TR"/>
              </w:rPr>
              <w:t>Eskİ madde</w:t>
            </w:r>
          </w:p>
        </w:tc>
        <w:tc>
          <w:tcPr>
            <w:tcW w:w="4678" w:type="dxa"/>
            <w:tcBorders>
              <w:top w:val="single" w:sz="4" w:space="0" w:color="auto"/>
              <w:left w:val="single" w:sz="4" w:space="0" w:color="auto"/>
              <w:bottom w:val="single" w:sz="4" w:space="0" w:color="auto"/>
              <w:right w:val="single" w:sz="4" w:space="0" w:color="auto"/>
            </w:tcBorders>
          </w:tcPr>
          <w:p w14:paraId="417E9E70" w14:textId="146319E9" w:rsidR="0084723E" w:rsidRPr="00F25888" w:rsidRDefault="0084723E" w:rsidP="00487E2F">
            <w:pPr>
              <w:spacing w:after="200"/>
              <w:jc w:val="center"/>
              <w:rPr>
                <w:b/>
                <w:bCs/>
                <w:sz w:val="22"/>
                <w:szCs w:val="22"/>
                <w:lang w:val="tr-TR"/>
              </w:rPr>
            </w:pPr>
            <w:r w:rsidRPr="00F25888">
              <w:rPr>
                <w:rFonts w:eastAsia="Calibri"/>
                <w:b/>
                <w:caps/>
                <w:sz w:val="22"/>
                <w:szCs w:val="22"/>
                <w:lang w:val="tr-TR" w:eastAsia="tr-TR"/>
              </w:rPr>
              <w:t>YENİ MADDE</w:t>
            </w:r>
          </w:p>
        </w:tc>
      </w:tr>
      <w:tr w:rsidR="0084723E" w:rsidRPr="00F25888" w14:paraId="0315D4DB"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242EF2A6"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SERMAYE</w:t>
            </w:r>
          </w:p>
          <w:p w14:paraId="381F881F" w14:textId="246F6577" w:rsidR="0084723E" w:rsidRPr="00F25888" w:rsidRDefault="0084723E" w:rsidP="00487E2F">
            <w:pPr>
              <w:contextualSpacing/>
              <w:jc w:val="both"/>
              <w:rPr>
                <w:rFonts w:eastAsiaTheme="minorEastAsia"/>
                <w:b/>
                <w:bCs/>
                <w:sz w:val="22"/>
                <w:szCs w:val="22"/>
                <w:lang w:val="tr-TR" w:eastAsia="ja-JP"/>
              </w:rPr>
            </w:pPr>
            <w:proofErr w:type="gramStart"/>
            <w:r w:rsidRPr="00F25888">
              <w:rPr>
                <w:rFonts w:eastAsiaTheme="minorEastAsia"/>
                <w:b/>
                <w:bCs/>
                <w:sz w:val="22"/>
                <w:szCs w:val="22"/>
                <w:highlight w:val="yellow"/>
                <w:u w:val="single"/>
                <w:lang w:val="tr-TR" w:eastAsia="ja-JP"/>
              </w:rPr>
              <w:t xml:space="preserve">MADDE  </w:t>
            </w:r>
            <w:r w:rsidR="0047626E" w:rsidRPr="00F25888">
              <w:rPr>
                <w:rFonts w:eastAsiaTheme="minorEastAsia"/>
                <w:b/>
                <w:bCs/>
                <w:sz w:val="22"/>
                <w:szCs w:val="22"/>
                <w:highlight w:val="yellow"/>
                <w:u w:val="single"/>
                <w:lang w:val="tr-TR" w:eastAsia="ja-JP"/>
              </w:rPr>
              <w:t>[.]</w:t>
            </w:r>
            <w:proofErr w:type="gramEnd"/>
            <w:r w:rsidRPr="00F25888">
              <w:rPr>
                <w:rFonts w:eastAsiaTheme="minorEastAsia"/>
                <w:b/>
                <w:bCs/>
                <w:sz w:val="22"/>
                <w:szCs w:val="22"/>
                <w:highlight w:val="yellow"/>
                <w:lang w:val="tr-TR" w:eastAsia="ja-JP"/>
              </w:rPr>
              <w:t>-</w:t>
            </w:r>
          </w:p>
          <w:p w14:paraId="7EF96C81" w14:textId="68C8898E" w:rsidR="0084723E" w:rsidRPr="00F25888" w:rsidRDefault="00372F18" w:rsidP="00487E2F">
            <w:pPr>
              <w:pStyle w:val="Gvdemetni1"/>
              <w:spacing w:after="200"/>
              <w:ind w:firstLine="0"/>
              <w:jc w:val="both"/>
              <w:rPr>
                <w:color w:val="000000"/>
                <w:sz w:val="22"/>
                <w:szCs w:val="22"/>
                <w:lang w:val="tr-TR" w:eastAsia="tr-TR" w:bidi="tr-TR"/>
              </w:rPr>
            </w:pPr>
            <w:r w:rsidRPr="00F25888">
              <w:rPr>
                <w:color w:val="000000"/>
                <w:sz w:val="22"/>
                <w:szCs w:val="22"/>
                <w:lang w:val="tr-TR" w:eastAsia="tr-TR" w:bidi="tr-TR"/>
              </w:rPr>
              <w:t xml:space="preserve">[.] </w:t>
            </w:r>
          </w:p>
          <w:p w14:paraId="41C48514" w14:textId="77777777" w:rsidR="0084723E" w:rsidRPr="00F25888" w:rsidRDefault="0084723E" w:rsidP="00487E2F">
            <w:pPr>
              <w:jc w:val="both"/>
              <w:rPr>
                <w:rFonts w:eastAsiaTheme="minorEastAsia"/>
                <w:sz w:val="22"/>
                <w:szCs w:val="22"/>
                <w:lang w:val="tr-TR" w:eastAsia="ja-JP"/>
              </w:rPr>
            </w:pPr>
          </w:p>
        </w:tc>
        <w:tc>
          <w:tcPr>
            <w:tcW w:w="4678" w:type="dxa"/>
            <w:tcBorders>
              <w:top w:val="single" w:sz="4" w:space="0" w:color="auto"/>
              <w:left w:val="single" w:sz="4" w:space="0" w:color="auto"/>
              <w:bottom w:val="single" w:sz="4" w:space="0" w:color="auto"/>
              <w:right w:val="single" w:sz="4" w:space="0" w:color="auto"/>
            </w:tcBorders>
          </w:tcPr>
          <w:p w14:paraId="2B321F9E"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 xml:space="preserve">SERMAYE </w:t>
            </w:r>
          </w:p>
          <w:p w14:paraId="3CF3B196" w14:textId="0EB9D170" w:rsidR="0084723E" w:rsidRPr="00F25888" w:rsidRDefault="0084723E" w:rsidP="00487E2F">
            <w:pPr>
              <w:contextualSpacing/>
              <w:jc w:val="both"/>
              <w:rPr>
                <w:rFonts w:eastAsiaTheme="minorEastAsia"/>
                <w:b/>
                <w:bCs/>
                <w:sz w:val="22"/>
                <w:szCs w:val="22"/>
                <w:u w:val="single"/>
                <w:lang w:val="tr-TR" w:eastAsia="ja-JP"/>
              </w:rPr>
            </w:pPr>
            <w:r w:rsidRPr="00F25888">
              <w:rPr>
                <w:rFonts w:eastAsiaTheme="minorEastAsia"/>
                <w:b/>
                <w:bCs/>
                <w:sz w:val="22"/>
                <w:szCs w:val="22"/>
                <w:highlight w:val="yellow"/>
                <w:u w:val="single"/>
                <w:lang w:val="tr-TR" w:eastAsia="ja-JP"/>
              </w:rPr>
              <w:t xml:space="preserve">MADDE </w:t>
            </w:r>
            <w:r w:rsidR="0047626E"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0B9B4BD4" w14:textId="687BFE61"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Şirketin nominal sermayesi </w:t>
            </w:r>
            <w:r w:rsidRPr="00F25888">
              <w:rPr>
                <w:sz w:val="22"/>
                <w:szCs w:val="22"/>
                <w:lang w:val="tr-TR" w:eastAsia="tr-TR" w:bidi="tr-TR"/>
              </w:rPr>
              <w:t xml:space="preserve">[.] </w:t>
            </w:r>
            <w:r w:rsidRPr="00F25888">
              <w:rPr>
                <w:sz w:val="22"/>
                <w:szCs w:val="22"/>
                <w:lang w:val="tr-TR" w:eastAsia="tr-TR" w:bidi="tr-TR"/>
              </w:rPr>
              <w:t xml:space="preserve">TL’dir. Bu sermaye, her biri </w:t>
            </w:r>
            <w:r w:rsidRPr="00F25888">
              <w:rPr>
                <w:sz w:val="22"/>
                <w:szCs w:val="22"/>
                <w:lang w:val="tr-TR" w:eastAsia="tr-TR" w:bidi="tr-TR"/>
              </w:rPr>
              <w:t xml:space="preserve">[.] </w:t>
            </w:r>
            <w:r w:rsidRPr="00F25888">
              <w:rPr>
                <w:sz w:val="22"/>
                <w:szCs w:val="22"/>
                <w:lang w:val="tr-TR" w:eastAsia="tr-TR" w:bidi="tr-TR"/>
              </w:rPr>
              <w:t xml:space="preserve">TL nominal değerde </w:t>
            </w:r>
            <w:r w:rsidRPr="00F25888">
              <w:rPr>
                <w:sz w:val="22"/>
                <w:szCs w:val="22"/>
                <w:lang w:val="tr-TR" w:eastAsia="tr-TR" w:bidi="tr-TR"/>
              </w:rPr>
              <w:t xml:space="preserve">[.] </w:t>
            </w:r>
            <w:r w:rsidRPr="00F25888">
              <w:rPr>
                <w:sz w:val="22"/>
                <w:szCs w:val="22"/>
                <w:lang w:val="tr-TR" w:eastAsia="tr-TR" w:bidi="tr-TR"/>
              </w:rPr>
              <w:t xml:space="preserve">adet nama yazılı paya ayrılmıştır. Önceki sermayeyi teşkil eden </w:t>
            </w:r>
            <w:r w:rsidRPr="00F25888">
              <w:rPr>
                <w:sz w:val="22"/>
                <w:szCs w:val="22"/>
                <w:lang w:val="tr-TR" w:eastAsia="tr-TR" w:bidi="tr-TR"/>
              </w:rPr>
              <w:t xml:space="preserve">[.] </w:t>
            </w:r>
            <w:r w:rsidRPr="00F25888">
              <w:rPr>
                <w:sz w:val="22"/>
                <w:szCs w:val="22"/>
                <w:lang w:val="tr-TR" w:eastAsia="tr-TR" w:bidi="tr-TR"/>
              </w:rPr>
              <w:t>TL’nin tamamı muvazaadan ari olarak ödenmiştir.</w:t>
            </w:r>
          </w:p>
          <w:p w14:paraId="5FB8CA4C" w14:textId="77777777" w:rsidR="00FC572E" w:rsidRPr="00F25888" w:rsidRDefault="00FC572E" w:rsidP="00FC572E">
            <w:pPr>
              <w:pStyle w:val="Gvdemetni1"/>
              <w:ind w:firstLine="0"/>
              <w:jc w:val="both"/>
              <w:rPr>
                <w:sz w:val="22"/>
                <w:szCs w:val="22"/>
                <w:lang w:val="tr-TR" w:eastAsia="tr-TR" w:bidi="tr-TR"/>
              </w:rPr>
            </w:pPr>
          </w:p>
          <w:p w14:paraId="4F35ADFC" w14:textId="66DDD770"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Bu defa arttırılan toplam </w:t>
            </w:r>
            <w:r w:rsidRPr="00F25888">
              <w:rPr>
                <w:sz w:val="22"/>
                <w:szCs w:val="22"/>
                <w:lang w:val="tr-TR" w:eastAsia="tr-TR" w:bidi="tr-TR"/>
              </w:rPr>
              <w:t>[.]</w:t>
            </w:r>
            <w:r w:rsidRPr="00F25888">
              <w:rPr>
                <w:sz w:val="22"/>
                <w:szCs w:val="22"/>
                <w:lang w:val="tr-TR" w:eastAsia="tr-TR" w:bidi="tr-TR"/>
              </w:rPr>
              <w:t xml:space="preserve"> TL’lik nominal sermayenin tamamı, [.] TL sermaye ve emisyon prim bedeliyle </w:t>
            </w:r>
            <w:r w:rsidR="00596274" w:rsidRPr="00F25888">
              <w:rPr>
                <w:rFonts w:eastAsia="Times"/>
                <w:noProof/>
                <w:color w:val="000000"/>
                <w:sz w:val="22"/>
                <w:szCs w:val="22"/>
              </w:rPr>
              <w:t xml:space="preserve">TÜBİTAK BİGG Fonu </w:t>
            </w:r>
            <w:r w:rsidRPr="00F25888">
              <w:rPr>
                <w:sz w:val="22"/>
                <w:szCs w:val="22"/>
                <w:lang w:val="tr-TR" w:eastAsia="tr-TR" w:bidi="tr-TR"/>
              </w:rPr>
              <w:t>tarafından her türlü muvazaadan ari olarak taahhüt edilmiş ve taahhüt edilen tüm nominal sermaye ve emisyon prim bedeli tescil tarihinden önce nakden ve tamamen ödenmiştir. Sermaye artırımı sonrasında Şirket’in pay sahipliği yapısı aşağıdaki şekilde oluşmuştur:</w:t>
            </w:r>
          </w:p>
          <w:p w14:paraId="5960775C" w14:textId="77777777" w:rsidR="00FC572E" w:rsidRPr="00F25888" w:rsidRDefault="00FC572E" w:rsidP="00FC572E">
            <w:pPr>
              <w:pStyle w:val="Gvdemetni1"/>
              <w:ind w:firstLine="0"/>
              <w:jc w:val="both"/>
              <w:rPr>
                <w:sz w:val="22"/>
                <w:szCs w:val="22"/>
                <w:lang w:val="tr-TR" w:eastAsia="tr-TR" w:bidi="tr-TR"/>
              </w:rPr>
            </w:pPr>
          </w:p>
          <w:p w14:paraId="64CFE3F4" w14:textId="73A205BD"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Sahibi: </w:t>
            </w:r>
          </w:p>
          <w:p w14:paraId="1668F830" w14:textId="77777777"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Pay Grubu: A</w:t>
            </w:r>
          </w:p>
          <w:p w14:paraId="5405F62B" w14:textId="29C3225E"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Adedi: </w:t>
            </w:r>
          </w:p>
          <w:p w14:paraId="03C1BA53" w14:textId="3E0A299E"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Sahipliği Oranı (%): </w:t>
            </w:r>
          </w:p>
          <w:p w14:paraId="3A15A871" w14:textId="26EB7874"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Toplam Nominal Değeri (TL): </w:t>
            </w:r>
          </w:p>
          <w:p w14:paraId="36EE3D89" w14:textId="77777777" w:rsidR="00596274" w:rsidRPr="00F25888" w:rsidRDefault="00596274" w:rsidP="00FC572E">
            <w:pPr>
              <w:pStyle w:val="Gvdemetni1"/>
              <w:ind w:firstLine="0"/>
              <w:jc w:val="both"/>
              <w:rPr>
                <w:sz w:val="22"/>
                <w:szCs w:val="22"/>
                <w:lang w:val="tr-TR" w:eastAsia="tr-TR" w:bidi="tr-TR"/>
              </w:rPr>
            </w:pPr>
          </w:p>
          <w:p w14:paraId="3322B501" w14:textId="77777777" w:rsidR="00596274" w:rsidRPr="00F25888" w:rsidRDefault="00596274" w:rsidP="00596274">
            <w:pPr>
              <w:pStyle w:val="Gvdemetni1"/>
              <w:ind w:firstLine="0"/>
              <w:jc w:val="both"/>
              <w:rPr>
                <w:sz w:val="22"/>
                <w:szCs w:val="22"/>
                <w:lang w:val="tr-TR" w:eastAsia="tr-TR" w:bidi="tr-TR"/>
              </w:rPr>
            </w:pPr>
            <w:r w:rsidRPr="00F25888">
              <w:rPr>
                <w:sz w:val="22"/>
                <w:szCs w:val="22"/>
                <w:lang w:val="tr-TR" w:eastAsia="tr-TR" w:bidi="tr-TR"/>
              </w:rPr>
              <w:t xml:space="preserve">Pay Sahibi: </w:t>
            </w:r>
          </w:p>
          <w:p w14:paraId="5586AE9E" w14:textId="77777777" w:rsidR="00596274" w:rsidRPr="00F25888" w:rsidRDefault="00596274" w:rsidP="00596274">
            <w:pPr>
              <w:pStyle w:val="Gvdemetni1"/>
              <w:ind w:firstLine="0"/>
              <w:jc w:val="both"/>
              <w:rPr>
                <w:sz w:val="22"/>
                <w:szCs w:val="22"/>
                <w:lang w:val="tr-TR" w:eastAsia="tr-TR" w:bidi="tr-TR"/>
              </w:rPr>
            </w:pPr>
            <w:r w:rsidRPr="00F25888">
              <w:rPr>
                <w:sz w:val="22"/>
                <w:szCs w:val="22"/>
                <w:lang w:val="tr-TR" w:eastAsia="tr-TR" w:bidi="tr-TR"/>
              </w:rPr>
              <w:t>Pay Grubu: A</w:t>
            </w:r>
          </w:p>
          <w:p w14:paraId="2AE5D9A3" w14:textId="77777777" w:rsidR="00596274" w:rsidRPr="00F25888" w:rsidRDefault="00596274" w:rsidP="00596274">
            <w:pPr>
              <w:pStyle w:val="Gvdemetni1"/>
              <w:ind w:firstLine="0"/>
              <w:jc w:val="both"/>
              <w:rPr>
                <w:sz w:val="22"/>
                <w:szCs w:val="22"/>
                <w:lang w:val="tr-TR" w:eastAsia="tr-TR" w:bidi="tr-TR"/>
              </w:rPr>
            </w:pPr>
            <w:r w:rsidRPr="00F25888">
              <w:rPr>
                <w:sz w:val="22"/>
                <w:szCs w:val="22"/>
                <w:lang w:val="tr-TR" w:eastAsia="tr-TR" w:bidi="tr-TR"/>
              </w:rPr>
              <w:t xml:space="preserve">Pay Adedi: </w:t>
            </w:r>
          </w:p>
          <w:p w14:paraId="4EDB0DD1" w14:textId="77777777" w:rsidR="00596274" w:rsidRPr="00F25888" w:rsidRDefault="00596274" w:rsidP="00596274">
            <w:pPr>
              <w:pStyle w:val="Gvdemetni1"/>
              <w:ind w:firstLine="0"/>
              <w:jc w:val="both"/>
              <w:rPr>
                <w:sz w:val="22"/>
                <w:szCs w:val="22"/>
                <w:lang w:val="tr-TR" w:eastAsia="tr-TR" w:bidi="tr-TR"/>
              </w:rPr>
            </w:pPr>
            <w:r w:rsidRPr="00F25888">
              <w:rPr>
                <w:sz w:val="22"/>
                <w:szCs w:val="22"/>
                <w:lang w:val="tr-TR" w:eastAsia="tr-TR" w:bidi="tr-TR"/>
              </w:rPr>
              <w:t xml:space="preserve">Pay Sahipliği Oranı (%): </w:t>
            </w:r>
          </w:p>
          <w:p w14:paraId="44ADEF54" w14:textId="77777777" w:rsidR="00596274" w:rsidRPr="00F25888" w:rsidRDefault="00596274" w:rsidP="00596274">
            <w:pPr>
              <w:pStyle w:val="Gvdemetni1"/>
              <w:ind w:firstLine="0"/>
              <w:jc w:val="both"/>
              <w:rPr>
                <w:sz w:val="22"/>
                <w:szCs w:val="22"/>
                <w:lang w:val="tr-TR" w:eastAsia="tr-TR" w:bidi="tr-TR"/>
              </w:rPr>
            </w:pPr>
            <w:r w:rsidRPr="00F25888">
              <w:rPr>
                <w:sz w:val="22"/>
                <w:szCs w:val="22"/>
                <w:lang w:val="tr-TR" w:eastAsia="tr-TR" w:bidi="tr-TR"/>
              </w:rPr>
              <w:t xml:space="preserve">Toplam Nominal Değeri (TL): </w:t>
            </w:r>
          </w:p>
          <w:p w14:paraId="6E183E80" w14:textId="77777777" w:rsidR="00596274" w:rsidRPr="00F25888" w:rsidRDefault="00596274" w:rsidP="00FC572E">
            <w:pPr>
              <w:pStyle w:val="Gvdemetni1"/>
              <w:ind w:firstLine="0"/>
              <w:jc w:val="both"/>
              <w:rPr>
                <w:sz w:val="22"/>
                <w:szCs w:val="22"/>
                <w:lang w:val="tr-TR" w:eastAsia="tr-TR" w:bidi="tr-TR"/>
              </w:rPr>
            </w:pPr>
          </w:p>
          <w:p w14:paraId="6BEBC9EB" w14:textId="77777777" w:rsidR="00FC572E" w:rsidRPr="00F25888" w:rsidRDefault="00FC572E" w:rsidP="00FC572E">
            <w:pPr>
              <w:pStyle w:val="Gvdemetni1"/>
              <w:ind w:firstLine="0"/>
              <w:jc w:val="both"/>
              <w:rPr>
                <w:sz w:val="22"/>
                <w:szCs w:val="22"/>
                <w:lang w:val="tr-TR" w:eastAsia="tr-TR" w:bidi="tr-TR"/>
              </w:rPr>
            </w:pPr>
          </w:p>
          <w:p w14:paraId="4FAE3887" w14:textId="5910FAD0"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Sahibi: </w:t>
            </w:r>
            <w:r w:rsidR="00596274" w:rsidRPr="00F25888">
              <w:rPr>
                <w:rFonts w:eastAsia="Times"/>
                <w:noProof/>
                <w:color w:val="000000"/>
                <w:sz w:val="22"/>
                <w:szCs w:val="22"/>
              </w:rPr>
              <w:t>TÜBİTAK BİGG Fonu</w:t>
            </w:r>
          </w:p>
          <w:p w14:paraId="69BB6C21" w14:textId="5FC352A3"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Grubu: </w:t>
            </w:r>
            <w:r w:rsidR="00596274" w:rsidRPr="00F25888">
              <w:rPr>
                <w:sz w:val="22"/>
                <w:szCs w:val="22"/>
                <w:lang w:val="tr-TR" w:eastAsia="tr-TR" w:bidi="tr-TR"/>
              </w:rPr>
              <w:t>B</w:t>
            </w:r>
          </w:p>
          <w:p w14:paraId="56302D11" w14:textId="5235EC98"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Adedi: </w:t>
            </w:r>
          </w:p>
          <w:p w14:paraId="113DC16A" w14:textId="42C47453"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Pay Sahipliği Oranı (%): </w:t>
            </w:r>
            <w:r w:rsidR="0053285D" w:rsidRPr="00F25888">
              <w:rPr>
                <w:sz w:val="22"/>
                <w:szCs w:val="22"/>
                <w:lang w:val="tr-TR" w:eastAsia="tr-TR" w:bidi="tr-TR"/>
              </w:rPr>
              <w:t>3</w:t>
            </w:r>
          </w:p>
          <w:p w14:paraId="0931C9FD" w14:textId="24D41AA7" w:rsidR="00FC572E" w:rsidRPr="00F25888" w:rsidRDefault="00FC572E" w:rsidP="00FC572E">
            <w:pPr>
              <w:pStyle w:val="Gvdemetni1"/>
              <w:ind w:firstLine="0"/>
              <w:jc w:val="both"/>
              <w:rPr>
                <w:sz w:val="22"/>
                <w:szCs w:val="22"/>
                <w:lang w:val="tr-TR" w:eastAsia="tr-TR" w:bidi="tr-TR"/>
              </w:rPr>
            </w:pPr>
            <w:r w:rsidRPr="00F25888">
              <w:rPr>
                <w:sz w:val="22"/>
                <w:szCs w:val="22"/>
                <w:lang w:val="tr-TR" w:eastAsia="tr-TR" w:bidi="tr-TR"/>
              </w:rPr>
              <w:t xml:space="preserve">Toplam Nominal Değeri (TL): </w:t>
            </w:r>
          </w:p>
          <w:p w14:paraId="0630723D" w14:textId="77777777" w:rsidR="00FC572E" w:rsidRPr="00F25888" w:rsidRDefault="00FC572E" w:rsidP="00487E2F">
            <w:pPr>
              <w:contextualSpacing/>
              <w:jc w:val="both"/>
              <w:rPr>
                <w:rFonts w:eastAsiaTheme="minorEastAsia"/>
                <w:b/>
                <w:bCs/>
                <w:sz w:val="22"/>
                <w:szCs w:val="22"/>
                <w:u w:val="single"/>
                <w:lang w:val="tr-TR" w:eastAsia="ja-JP"/>
              </w:rPr>
            </w:pPr>
          </w:p>
          <w:p w14:paraId="57809A74" w14:textId="77777777" w:rsidR="0053285D" w:rsidRPr="00F25888" w:rsidRDefault="0053285D" w:rsidP="0053285D">
            <w:pPr>
              <w:pStyle w:val="Gvdemetni1"/>
              <w:ind w:firstLine="0"/>
              <w:jc w:val="both"/>
              <w:rPr>
                <w:b/>
                <w:bCs/>
                <w:sz w:val="22"/>
                <w:szCs w:val="22"/>
                <w:lang w:val="tr-TR" w:eastAsia="tr-TR" w:bidi="tr-TR"/>
              </w:rPr>
            </w:pPr>
            <w:r w:rsidRPr="00F25888">
              <w:rPr>
                <w:b/>
                <w:bCs/>
                <w:sz w:val="22"/>
                <w:szCs w:val="22"/>
                <w:lang w:val="tr-TR" w:eastAsia="tr-TR" w:bidi="tr-TR"/>
              </w:rPr>
              <w:t>Toplam:</w:t>
            </w:r>
          </w:p>
          <w:p w14:paraId="7BB24488" w14:textId="6AF3559B" w:rsidR="0053285D" w:rsidRPr="00F25888" w:rsidRDefault="0053285D" w:rsidP="0053285D">
            <w:pPr>
              <w:pStyle w:val="Gvdemetni1"/>
              <w:ind w:firstLine="0"/>
              <w:jc w:val="both"/>
              <w:rPr>
                <w:b/>
                <w:bCs/>
                <w:sz w:val="22"/>
                <w:szCs w:val="22"/>
                <w:lang w:val="tr-TR" w:eastAsia="tr-TR" w:bidi="tr-TR"/>
              </w:rPr>
            </w:pPr>
            <w:r w:rsidRPr="00F25888">
              <w:rPr>
                <w:b/>
                <w:bCs/>
                <w:sz w:val="22"/>
                <w:szCs w:val="22"/>
                <w:lang w:val="tr-TR" w:eastAsia="tr-TR" w:bidi="tr-TR"/>
              </w:rPr>
              <w:t xml:space="preserve">Nominal Sermaye (TL): </w:t>
            </w:r>
          </w:p>
          <w:p w14:paraId="00FC00EF" w14:textId="6E87D25D" w:rsidR="0053285D" w:rsidRPr="00F25888" w:rsidRDefault="0053285D" w:rsidP="0053285D">
            <w:pPr>
              <w:pStyle w:val="Gvdemetni1"/>
              <w:ind w:firstLine="0"/>
              <w:jc w:val="both"/>
              <w:rPr>
                <w:b/>
                <w:bCs/>
                <w:sz w:val="22"/>
                <w:szCs w:val="22"/>
                <w:lang w:val="tr-TR" w:eastAsia="tr-TR" w:bidi="tr-TR"/>
              </w:rPr>
            </w:pPr>
            <w:r w:rsidRPr="00F25888">
              <w:rPr>
                <w:b/>
                <w:bCs/>
                <w:sz w:val="22"/>
                <w:szCs w:val="22"/>
                <w:lang w:val="tr-TR" w:eastAsia="tr-TR" w:bidi="tr-TR"/>
              </w:rPr>
              <w:t xml:space="preserve">Pay Adedi: </w:t>
            </w:r>
          </w:p>
          <w:p w14:paraId="5EBC771C" w14:textId="633A3693" w:rsidR="0053285D" w:rsidRPr="00F25888" w:rsidRDefault="0053285D" w:rsidP="0053285D">
            <w:pPr>
              <w:pStyle w:val="Gvdemetni1"/>
              <w:ind w:firstLine="0"/>
              <w:jc w:val="both"/>
              <w:rPr>
                <w:b/>
                <w:bCs/>
                <w:sz w:val="22"/>
                <w:szCs w:val="22"/>
                <w:lang w:val="tr-TR" w:eastAsia="tr-TR" w:bidi="tr-TR"/>
              </w:rPr>
            </w:pPr>
            <w:r w:rsidRPr="00F25888">
              <w:rPr>
                <w:b/>
                <w:bCs/>
                <w:sz w:val="22"/>
                <w:szCs w:val="22"/>
                <w:lang w:val="tr-TR" w:eastAsia="tr-TR" w:bidi="tr-TR"/>
              </w:rPr>
              <w:t>Pay Grubu: A&amp;B</w:t>
            </w:r>
          </w:p>
          <w:p w14:paraId="6BF0A261" w14:textId="7F326667" w:rsidR="00372F18" w:rsidRPr="00F25888" w:rsidRDefault="0053285D" w:rsidP="0053285D">
            <w:pPr>
              <w:pStyle w:val="Gvdemetni1"/>
              <w:ind w:firstLine="0"/>
              <w:jc w:val="both"/>
              <w:rPr>
                <w:color w:val="000000"/>
                <w:sz w:val="22"/>
                <w:szCs w:val="22"/>
                <w:lang w:val="tr-TR" w:eastAsia="tr-TR" w:bidi="tr-TR"/>
              </w:rPr>
            </w:pPr>
            <w:r w:rsidRPr="00F25888">
              <w:rPr>
                <w:b/>
                <w:bCs/>
                <w:sz w:val="22"/>
                <w:szCs w:val="22"/>
                <w:lang w:val="tr-TR" w:eastAsia="tr-TR" w:bidi="tr-TR"/>
              </w:rPr>
              <w:t>Pay Oranı (%): 100</w:t>
            </w:r>
          </w:p>
          <w:p w14:paraId="2E11FCA3" w14:textId="07778C93" w:rsidR="0084723E" w:rsidRPr="00F25888" w:rsidRDefault="0084723E" w:rsidP="00487E2F">
            <w:pPr>
              <w:pStyle w:val="Gvdemetni1"/>
              <w:ind w:firstLine="0"/>
              <w:jc w:val="both"/>
              <w:rPr>
                <w:color w:val="000000"/>
                <w:sz w:val="22"/>
                <w:szCs w:val="22"/>
                <w:lang w:val="tr-TR" w:eastAsia="tr-TR" w:bidi="tr-TR"/>
              </w:rPr>
            </w:pPr>
          </w:p>
        </w:tc>
      </w:tr>
      <w:tr w:rsidR="0084723E" w:rsidRPr="00F25888" w14:paraId="1B829C32"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77938EA7"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YÖNETİM KURULU ve SÜRESİ</w:t>
            </w:r>
          </w:p>
          <w:p w14:paraId="72D4863E" w14:textId="258E2A67" w:rsidR="0084723E" w:rsidRPr="00F25888" w:rsidRDefault="0084723E" w:rsidP="00487E2F">
            <w:pPr>
              <w:contextualSpacing/>
              <w:jc w:val="both"/>
              <w:rPr>
                <w:rFonts w:eastAsiaTheme="minorEastAsia"/>
                <w:b/>
                <w:bCs/>
                <w:sz w:val="22"/>
                <w:szCs w:val="22"/>
                <w:u w:val="single"/>
                <w:lang w:val="tr-TR" w:eastAsia="ja-JP"/>
              </w:rPr>
            </w:pPr>
            <w:r w:rsidRPr="00F25888">
              <w:rPr>
                <w:rFonts w:eastAsiaTheme="minorEastAsia"/>
                <w:b/>
                <w:bCs/>
                <w:sz w:val="22"/>
                <w:szCs w:val="22"/>
                <w:highlight w:val="yellow"/>
                <w:u w:val="single"/>
                <w:lang w:val="tr-TR" w:eastAsia="ja-JP"/>
              </w:rPr>
              <w:t xml:space="preserve">MADDE </w:t>
            </w:r>
            <w:r w:rsidR="0047626E"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5E2EE6BE" w14:textId="208F1543" w:rsidR="0084723E" w:rsidRPr="00F25888" w:rsidRDefault="00372F18" w:rsidP="00487E2F">
            <w:pPr>
              <w:contextualSpacing/>
              <w:jc w:val="both"/>
              <w:rPr>
                <w:rFonts w:eastAsiaTheme="minorEastAsia"/>
                <w:b/>
                <w:bCs/>
                <w:sz w:val="22"/>
                <w:szCs w:val="22"/>
                <w:lang w:val="tr-TR" w:eastAsia="ja-JP"/>
              </w:rPr>
            </w:pPr>
            <w:r w:rsidRPr="00F25888">
              <w:rPr>
                <w:color w:val="000000"/>
                <w:sz w:val="22"/>
                <w:szCs w:val="22"/>
                <w:lang w:val="tr-TR" w:eastAsia="tr-TR" w:bidi="tr-TR"/>
              </w:rPr>
              <w:t>[.]</w:t>
            </w:r>
          </w:p>
        </w:tc>
        <w:tc>
          <w:tcPr>
            <w:tcW w:w="4678" w:type="dxa"/>
            <w:tcBorders>
              <w:top w:val="single" w:sz="4" w:space="0" w:color="auto"/>
              <w:left w:val="single" w:sz="4" w:space="0" w:color="auto"/>
              <w:bottom w:val="single" w:sz="4" w:space="0" w:color="auto"/>
              <w:right w:val="single" w:sz="4" w:space="0" w:color="auto"/>
            </w:tcBorders>
          </w:tcPr>
          <w:p w14:paraId="4856E85B"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YÖNETİM KURULU ve SÜRESİ</w:t>
            </w:r>
          </w:p>
          <w:p w14:paraId="491CC306" w14:textId="77777777" w:rsidR="0084723E" w:rsidRPr="00F25888" w:rsidRDefault="0084723E" w:rsidP="00487E2F">
            <w:pPr>
              <w:contextualSpacing/>
              <w:jc w:val="both"/>
              <w:rPr>
                <w:rFonts w:eastAsiaTheme="minorEastAsia"/>
                <w:b/>
                <w:bCs/>
                <w:sz w:val="22"/>
                <w:szCs w:val="22"/>
                <w:u w:val="single"/>
                <w:lang w:val="tr-TR" w:eastAsia="ja-JP"/>
              </w:rPr>
            </w:pPr>
            <w:r w:rsidRPr="00F25888">
              <w:rPr>
                <w:rFonts w:eastAsiaTheme="minorEastAsia"/>
                <w:b/>
                <w:bCs/>
                <w:sz w:val="22"/>
                <w:szCs w:val="22"/>
                <w:u w:val="single"/>
                <w:lang w:val="tr-TR" w:eastAsia="ja-JP"/>
              </w:rPr>
              <w:t>MADDE 7-</w:t>
            </w:r>
          </w:p>
          <w:p w14:paraId="6F72A075" w14:textId="7DBE08B5" w:rsidR="0084723E" w:rsidRPr="00F25888" w:rsidRDefault="0084723E" w:rsidP="00487E2F">
            <w:pPr>
              <w:contextualSpacing/>
              <w:jc w:val="both"/>
              <w:rPr>
                <w:rFonts w:eastAsiaTheme="minorEastAsia"/>
                <w:b/>
                <w:bCs/>
                <w:sz w:val="22"/>
                <w:szCs w:val="22"/>
                <w:lang w:val="tr-TR" w:eastAsia="ja-JP"/>
              </w:rPr>
            </w:pPr>
            <w:r w:rsidRPr="00F25888">
              <w:rPr>
                <w:color w:val="000000"/>
                <w:sz w:val="22"/>
                <w:szCs w:val="22"/>
                <w:lang w:val="tr-TR" w:eastAsia="tr-TR" w:bidi="tr-TR"/>
              </w:rPr>
              <w:t xml:space="preserve">Şirketin işleri ve idaresi Genel Kurul tarafından Türk Ticaret Kanunu (“TTK”) Hükümleri çerçevesinde seçilecek </w:t>
            </w:r>
            <w:r w:rsidR="0047626E" w:rsidRPr="00F25888">
              <w:rPr>
                <w:color w:val="000000"/>
                <w:sz w:val="22"/>
                <w:szCs w:val="22"/>
                <w:highlight w:val="yellow"/>
                <w:lang w:val="tr-TR" w:eastAsia="tr-TR" w:bidi="tr-TR"/>
              </w:rPr>
              <w:t xml:space="preserve">[.] </w:t>
            </w:r>
            <w:r w:rsidRPr="00F25888">
              <w:rPr>
                <w:color w:val="000000"/>
                <w:sz w:val="22"/>
                <w:szCs w:val="22"/>
                <w:highlight w:val="yellow"/>
                <w:lang w:val="tr-TR" w:eastAsia="tr-TR" w:bidi="tr-TR"/>
              </w:rPr>
              <w:t>üyeden</w:t>
            </w:r>
            <w:r w:rsidRPr="00F25888">
              <w:rPr>
                <w:color w:val="000000"/>
                <w:sz w:val="22"/>
                <w:szCs w:val="22"/>
                <w:lang w:val="tr-TR" w:eastAsia="tr-TR" w:bidi="tr-TR"/>
              </w:rPr>
              <w:t xml:space="preserve"> oluşan bir yönetim kurulu tarafında</w:t>
            </w:r>
            <w:r w:rsidR="00807322" w:rsidRPr="00F25888">
              <w:rPr>
                <w:color w:val="000000"/>
                <w:sz w:val="22"/>
                <w:szCs w:val="22"/>
                <w:lang w:val="tr-TR" w:eastAsia="tr-TR" w:bidi="tr-TR"/>
              </w:rPr>
              <w:t xml:space="preserve">n </w:t>
            </w:r>
            <w:r w:rsidRPr="00F25888">
              <w:rPr>
                <w:color w:val="000000"/>
                <w:sz w:val="22"/>
                <w:szCs w:val="22"/>
                <w:lang w:val="tr-TR" w:eastAsia="tr-TR" w:bidi="tr-TR"/>
              </w:rPr>
              <w:t>yürütülür.</w:t>
            </w:r>
            <w:r w:rsidRPr="00F25888">
              <w:rPr>
                <w:color w:val="000000"/>
                <w:sz w:val="22"/>
                <w:szCs w:val="22"/>
                <w:lang w:val="tr-TR" w:eastAsia="tr-TR" w:bidi="tr-TR"/>
              </w:rPr>
              <w:br/>
              <w:t>Yönetim Kurulu süresi 1- 3 yıl arasıdır.</w:t>
            </w:r>
          </w:p>
        </w:tc>
      </w:tr>
      <w:tr w:rsidR="0084723E" w:rsidRPr="00F25888" w14:paraId="083FA290"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7CAEEF05"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lastRenderedPageBreak/>
              <w:t>GENEL KURUL</w:t>
            </w:r>
          </w:p>
          <w:p w14:paraId="5E14903F" w14:textId="1BF3EAF2" w:rsidR="0084723E" w:rsidRPr="00F25888" w:rsidRDefault="0084723E" w:rsidP="00487E2F">
            <w:pPr>
              <w:contextualSpacing/>
              <w:jc w:val="both"/>
              <w:rPr>
                <w:rFonts w:eastAsiaTheme="minorEastAsia"/>
                <w:b/>
                <w:bCs/>
                <w:sz w:val="22"/>
                <w:szCs w:val="22"/>
                <w:u w:val="single"/>
                <w:lang w:val="tr-TR" w:eastAsia="ja-JP"/>
              </w:rPr>
            </w:pPr>
            <w:r w:rsidRPr="00F25888">
              <w:rPr>
                <w:rFonts w:eastAsiaTheme="minorEastAsia"/>
                <w:b/>
                <w:bCs/>
                <w:sz w:val="22"/>
                <w:szCs w:val="22"/>
                <w:highlight w:val="yellow"/>
                <w:u w:val="single"/>
                <w:lang w:val="tr-TR" w:eastAsia="ja-JP"/>
              </w:rPr>
              <w:t xml:space="preserve">MADDE </w:t>
            </w:r>
            <w:r w:rsidR="0047626E"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55EE9D6C" w14:textId="3C4CB0F3" w:rsidR="0084723E" w:rsidRPr="00F25888" w:rsidRDefault="00372F18" w:rsidP="00487E2F">
            <w:pPr>
              <w:contextualSpacing/>
              <w:jc w:val="both"/>
              <w:rPr>
                <w:color w:val="000000"/>
                <w:sz w:val="22"/>
                <w:szCs w:val="22"/>
                <w:lang w:val="tr-TR" w:eastAsia="tr-TR" w:bidi="tr-TR"/>
              </w:rPr>
            </w:pPr>
            <w:r w:rsidRPr="00F25888">
              <w:rPr>
                <w:color w:val="000000"/>
                <w:sz w:val="22"/>
                <w:szCs w:val="22"/>
                <w:lang w:val="tr-TR" w:eastAsia="tr-TR" w:bidi="tr-TR"/>
              </w:rPr>
              <w:t>[.]</w:t>
            </w:r>
          </w:p>
          <w:p w14:paraId="3E1A1E96" w14:textId="77777777" w:rsidR="0084723E" w:rsidRPr="00F25888" w:rsidRDefault="0084723E" w:rsidP="00487E2F">
            <w:pPr>
              <w:contextualSpacing/>
              <w:jc w:val="both"/>
              <w:rPr>
                <w:rFonts w:eastAsiaTheme="minorEastAsia"/>
                <w:b/>
                <w:bCs/>
                <w:sz w:val="22"/>
                <w:szCs w:val="22"/>
                <w:lang w:val="tr-TR" w:eastAsia="ja-JP"/>
              </w:rPr>
            </w:pPr>
          </w:p>
        </w:tc>
        <w:tc>
          <w:tcPr>
            <w:tcW w:w="4678" w:type="dxa"/>
            <w:tcBorders>
              <w:top w:val="single" w:sz="4" w:space="0" w:color="auto"/>
              <w:left w:val="single" w:sz="4" w:space="0" w:color="auto"/>
              <w:bottom w:val="single" w:sz="4" w:space="0" w:color="auto"/>
              <w:right w:val="single" w:sz="4" w:space="0" w:color="auto"/>
            </w:tcBorders>
          </w:tcPr>
          <w:p w14:paraId="0B143EFB"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GENEL KURUL</w:t>
            </w:r>
          </w:p>
          <w:p w14:paraId="22C0D889" w14:textId="22FD9D5F" w:rsidR="0084723E" w:rsidRPr="00F25888" w:rsidRDefault="0084723E" w:rsidP="00487E2F">
            <w:pPr>
              <w:contextualSpacing/>
              <w:jc w:val="both"/>
              <w:rPr>
                <w:rFonts w:eastAsiaTheme="minorEastAsia"/>
                <w:b/>
                <w:bCs/>
                <w:sz w:val="22"/>
                <w:szCs w:val="22"/>
                <w:highlight w:val="yellow"/>
                <w:u w:val="single"/>
                <w:lang w:val="tr-TR" w:eastAsia="ja-JP"/>
              </w:rPr>
            </w:pPr>
            <w:r w:rsidRPr="00F25888">
              <w:rPr>
                <w:rFonts w:eastAsiaTheme="minorEastAsia"/>
                <w:b/>
                <w:bCs/>
                <w:sz w:val="22"/>
                <w:szCs w:val="22"/>
                <w:highlight w:val="yellow"/>
                <w:u w:val="single"/>
                <w:lang w:val="tr-TR" w:eastAsia="ja-JP"/>
              </w:rPr>
              <w:t xml:space="preserve">MADDE </w:t>
            </w:r>
            <w:r w:rsidR="00747964"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12B4DC32" w14:textId="08A09A5A" w:rsidR="00705DEB" w:rsidRPr="00F25888" w:rsidRDefault="00705DEB" w:rsidP="00705DEB">
            <w:pPr>
              <w:pStyle w:val="LO-normal"/>
              <w:widowControl w:val="0"/>
              <w:spacing w:line="276" w:lineRule="auto"/>
              <w:jc w:val="both"/>
              <w:rPr>
                <w:rFonts w:eastAsia="Times" w:cs="Times New Roman"/>
                <w:noProof/>
                <w:sz w:val="22"/>
                <w:szCs w:val="22"/>
              </w:rPr>
            </w:pPr>
            <w:r w:rsidRPr="00F25888">
              <w:rPr>
                <w:rFonts w:eastAsia="Times" w:cs="Times New Roman"/>
                <w:noProof/>
                <w:sz w:val="22"/>
                <w:szCs w:val="22"/>
              </w:rPr>
              <w:t>Şirket’in ve/veya</w:t>
            </w:r>
            <w:r w:rsidRPr="00F25888">
              <w:rPr>
                <w:rFonts w:eastAsia="Times" w:cs="Times New Roman"/>
                <w:noProof/>
                <w:sz w:val="22"/>
                <w:szCs w:val="22"/>
              </w:rPr>
              <w:t xml:space="preserve"> A Grubu Pay Sahipleri’nin</w:t>
            </w:r>
            <w:r w:rsidRPr="00F25888">
              <w:rPr>
                <w:rFonts w:eastAsia="Times" w:cs="Times New Roman"/>
                <w:noProof/>
                <w:sz w:val="22"/>
                <w:szCs w:val="22"/>
              </w:rPr>
              <w:t>, aşağıdaki konularda (“</w:t>
            </w:r>
            <w:r w:rsidRPr="00F25888">
              <w:rPr>
                <w:rFonts w:eastAsia="Times" w:cs="Times New Roman"/>
                <w:b/>
                <w:bCs/>
                <w:noProof/>
                <w:sz w:val="22"/>
                <w:szCs w:val="22"/>
              </w:rPr>
              <w:t>Önemli GK Konuları</w:t>
            </w:r>
            <w:r w:rsidRPr="00F25888">
              <w:rPr>
                <w:rFonts w:eastAsia="Times" w:cs="Times New Roman"/>
                <w:noProof/>
                <w:sz w:val="22"/>
                <w:szCs w:val="22"/>
              </w:rPr>
              <w:t xml:space="preserve">”) herhangi bir iş veya işlem yapabilmesi için, bu konuda bir genel kurul kararı alınması gerekli olacak ve kanunen daha yüksek / nitelikli nisap öngörülen haller saklı kalmak kaydıyla, söz konusu genel kurul kararının alınacağı toplantının nisabı, her halükarda, B grubu payların hazır bulunması ile teşkil olunacak ve karar nisabı da, ilgili konuda, B grubu payların tamamının olumlu oy kullanmasıyla oluşacaktır. </w:t>
            </w:r>
          </w:p>
          <w:p w14:paraId="3F702249" w14:textId="77777777" w:rsidR="00705DEB" w:rsidRPr="00F25888" w:rsidRDefault="00705DEB" w:rsidP="00705DEB">
            <w:pPr>
              <w:pStyle w:val="LO-normal"/>
              <w:widowControl w:val="0"/>
              <w:spacing w:line="276" w:lineRule="auto"/>
              <w:jc w:val="both"/>
              <w:rPr>
                <w:rFonts w:eastAsia="Times" w:cs="Times New Roman"/>
                <w:noProof/>
                <w:sz w:val="22"/>
                <w:szCs w:val="22"/>
              </w:rPr>
            </w:pPr>
          </w:p>
          <w:p w14:paraId="4BE0263B" w14:textId="77777777" w:rsidR="00705DEB"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 xml:space="preserve">Her türlü esas sözleşme değişiklikleri, </w:t>
            </w:r>
          </w:p>
          <w:p w14:paraId="71278BDC" w14:textId="77777777" w:rsidR="00705DEB"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Şirket’in sermayesini temsil eden paylara imtiyaz tanınması ve tanınmış olan imtiyazlarda değişiklik yapılmasına ilişkin esas sözleşme değişiklikleri,</w:t>
            </w:r>
          </w:p>
          <w:p w14:paraId="152D5C61" w14:textId="77777777" w:rsidR="00705DEB"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Şirket'in tasfiyesi, sona ermesi, ihtiyari iflası,</w:t>
            </w:r>
            <w:r w:rsidRPr="00F25888">
              <w:rPr>
                <w:sz w:val="22"/>
                <w:szCs w:val="22"/>
              </w:rPr>
              <w:t xml:space="preserve"> </w:t>
            </w:r>
            <w:r w:rsidRPr="00F25888">
              <w:rPr>
                <w:rFonts w:eastAsia="Times"/>
                <w:noProof/>
                <w:color w:val="000000"/>
                <w:sz w:val="22"/>
                <w:szCs w:val="22"/>
                <w:lang w:val="tr-TR"/>
              </w:rPr>
              <w:t>konkordato talebinde bulunulmasına ilişkin her türlü karar,</w:t>
            </w:r>
          </w:p>
          <w:p w14:paraId="083DA69F" w14:textId="77777777" w:rsidR="00705DEB"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Şirket’in gerçekleştireceği her türlü birleşme, devralma ve bölünme işlemleri,</w:t>
            </w:r>
          </w:p>
          <w:p w14:paraId="402DC9C6" w14:textId="77777777" w:rsidR="00705DEB"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Tahvil ihracı veya payların herhangi bir piyasada halka arzı,</w:t>
            </w:r>
          </w:p>
          <w:p w14:paraId="6B9DBD44" w14:textId="77777777" w:rsidR="00705DEB"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Önemli miktarda malvarlığı satışı veya devri,</w:t>
            </w:r>
          </w:p>
          <w:p w14:paraId="5AF51BFD" w14:textId="1D72C7ED" w:rsidR="0084723E" w:rsidRPr="00F25888" w:rsidRDefault="00705DEB" w:rsidP="00705DEB">
            <w:pPr>
              <w:numPr>
                <w:ilvl w:val="0"/>
                <w:numId w:val="22"/>
              </w:numPr>
              <w:pBdr>
                <w:top w:val="nil"/>
                <w:left w:val="nil"/>
                <w:bottom w:val="nil"/>
                <w:right w:val="nil"/>
                <w:between w:val="nil"/>
              </w:pBdr>
              <w:spacing w:line="276" w:lineRule="auto"/>
              <w:jc w:val="both"/>
              <w:rPr>
                <w:rFonts w:eastAsia="Times"/>
                <w:noProof/>
                <w:color w:val="000000"/>
                <w:sz w:val="22"/>
                <w:szCs w:val="22"/>
                <w:lang w:val="tr-TR"/>
              </w:rPr>
            </w:pPr>
            <w:r w:rsidRPr="00F25888">
              <w:rPr>
                <w:rFonts w:eastAsia="Times"/>
                <w:noProof/>
                <w:color w:val="000000"/>
                <w:sz w:val="22"/>
                <w:szCs w:val="22"/>
                <w:lang w:val="tr-TR"/>
              </w:rPr>
              <w:t>Yönetim kurulu üyelerine şirketle iş yapma (6102 sayılı Türk Ticaret Kanunu (“</w:t>
            </w:r>
            <w:r w:rsidRPr="00F25888">
              <w:rPr>
                <w:rFonts w:eastAsia="Times"/>
                <w:b/>
                <w:bCs/>
                <w:noProof/>
                <w:color w:val="000000"/>
                <w:sz w:val="22"/>
                <w:szCs w:val="22"/>
                <w:lang w:val="tr-TR"/>
              </w:rPr>
              <w:t>TTK</w:t>
            </w:r>
            <w:r w:rsidRPr="00F25888">
              <w:rPr>
                <w:rFonts w:eastAsia="Times"/>
                <w:noProof/>
                <w:color w:val="000000"/>
                <w:sz w:val="22"/>
                <w:szCs w:val="22"/>
                <w:lang w:val="tr-TR"/>
              </w:rPr>
              <w:t>”) 395) ve şirketle rekabet etme yasağı hususlarına (TTK 396) ilişkin izinlerin verilmesi</w:t>
            </w:r>
            <w:r w:rsidRPr="00F25888">
              <w:rPr>
                <w:rFonts w:eastAsia="Times"/>
                <w:noProof/>
                <w:color w:val="000000"/>
                <w:sz w:val="22"/>
                <w:szCs w:val="22"/>
                <w:lang w:val="tr-TR"/>
              </w:rPr>
              <w:t>.</w:t>
            </w:r>
          </w:p>
        </w:tc>
      </w:tr>
      <w:tr w:rsidR="0084723E" w:rsidRPr="00F25888" w14:paraId="62B1B634"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0C4C2623" w14:textId="77777777" w:rsidR="0084723E" w:rsidRPr="00F25888" w:rsidRDefault="0084723E" w:rsidP="00487E2F">
            <w:pPr>
              <w:contextualSpacing/>
              <w:jc w:val="both"/>
              <w:rPr>
                <w:rFonts w:eastAsiaTheme="minorEastAsia"/>
                <w:b/>
                <w:bCs/>
                <w:sz w:val="22"/>
                <w:szCs w:val="22"/>
                <w:lang w:val="tr-TR" w:eastAsia="ja-JP"/>
              </w:rPr>
            </w:pPr>
          </w:p>
        </w:tc>
        <w:tc>
          <w:tcPr>
            <w:tcW w:w="4678" w:type="dxa"/>
            <w:tcBorders>
              <w:top w:val="single" w:sz="4" w:space="0" w:color="auto"/>
              <w:left w:val="single" w:sz="4" w:space="0" w:color="auto"/>
              <w:bottom w:val="single" w:sz="4" w:space="0" w:color="auto"/>
              <w:right w:val="single" w:sz="4" w:space="0" w:color="auto"/>
            </w:tcBorders>
          </w:tcPr>
          <w:p w14:paraId="605FCC8D"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YENİ EKLENEN MADDE</w:t>
            </w:r>
          </w:p>
          <w:p w14:paraId="56373422"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highlight w:val="yellow"/>
                <w:lang w:val="tr-TR" w:eastAsia="ja-JP"/>
              </w:rPr>
              <w:t>YÖNETİM KURULU OLUŞUMU VE KARAR ALMA</w:t>
            </w:r>
          </w:p>
          <w:p w14:paraId="1ED7E04F" w14:textId="02134238" w:rsidR="0084723E" w:rsidRPr="00F25888" w:rsidRDefault="0084723E" w:rsidP="00487E2F">
            <w:pPr>
              <w:contextualSpacing/>
              <w:jc w:val="both"/>
              <w:rPr>
                <w:rFonts w:eastAsiaTheme="minorEastAsia"/>
                <w:b/>
                <w:bCs/>
                <w:sz w:val="22"/>
                <w:szCs w:val="22"/>
                <w:u w:val="single"/>
                <w:lang w:val="tr-TR" w:eastAsia="ja-JP"/>
              </w:rPr>
            </w:pPr>
            <w:r w:rsidRPr="00F25888">
              <w:rPr>
                <w:rFonts w:eastAsiaTheme="minorEastAsia"/>
                <w:b/>
                <w:bCs/>
                <w:sz w:val="22"/>
                <w:szCs w:val="22"/>
                <w:highlight w:val="yellow"/>
                <w:u w:val="single"/>
                <w:lang w:val="tr-TR" w:eastAsia="ja-JP"/>
              </w:rPr>
              <w:t xml:space="preserve">MADDE </w:t>
            </w:r>
            <w:r w:rsidR="00723FB9"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57EE0E91" w14:textId="3FD87902" w:rsidR="0084723E" w:rsidRPr="00F25888" w:rsidRDefault="005641A6" w:rsidP="005641A6">
            <w:pPr>
              <w:pStyle w:val="LO-normal"/>
              <w:widowControl w:val="0"/>
              <w:spacing w:line="276" w:lineRule="auto"/>
              <w:jc w:val="both"/>
              <w:rPr>
                <w:rFonts w:eastAsia="Times" w:cs="Times New Roman"/>
                <w:noProof/>
                <w:sz w:val="22"/>
                <w:szCs w:val="22"/>
              </w:rPr>
            </w:pPr>
            <w:r w:rsidRPr="00F25888">
              <w:rPr>
                <w:rFonts w:eastAsia="Times" w:cs="Times New Roman"/>
                <w:noProof/>
                <w:sz w:val="22"/>
                <w:szCs w:val="22"/>
              </w:rPr>
              <w:t>Şirket’in yönetim kurulu, A grubu paylara bağlı oy haklarının çoğunluğunu temsil eden paylar / pay sahipleri tarafından aday gösterilen üyelerden oluşacaktır. Yönetim kurulu TTK hükümlerine uygun olarak toplanacak ve karar alacaktır. Yönetim kurulu, ayrıca, sınırlı imza yetkililerini belirlemek üzere bir iç yönerge de çıkartabilecektir.</w:t>
            </w:r>
          </w:p>
        </w:tc>
      </w:tr>
      <w:tr w:rsidR="0084723E" w:rsidRPr="00F25888" w14:paraId="690E9F9F"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56A7C773" w14:textId="77777777" w:rsidR="0084723E" w:rsidRPr="00F25888" w:rsidRDefault="0084723E" w:rsidP="00487E2F">
            <w:pPr>
              <w:contextualSpacing/>
              <w:jc w:val="both"/>
              <w:rPr>
                <w:rFonts w:eastAsiaTheme="minorEastAsia"/>
                <w:b/>
                <w:bCs/>
                <w:sz w:val="22"/>
                <w:szCs w:val="22"/>
                <w:lang w:val="tr-TR" w:eastAsia="ja-JP"/>
              </w:rPr>
            </w:pPr>
          </w:p>
        </w:tc>
        <w:tc>
          <w:tcPr>
            <w:tcW w:w="4678" w:type="dxa"/>
            <w:tcBorders>
              <w:top w:val="single" w:sz="4" w:space="0" w:color="auto"/>
              <w:left w:val="single" w:sz="4" w:space="0" w:color="auto"/>
              <w:bottom w:val="single" w:sz="4" w:space="0" w:color="auto"/>
              <w:right w:val="single" w:sz="4" w:space="0" w:color="auto"/>
            </w:tcBorders>
          </w:tcPr>
          <w:p w14:paraId="7D9B6974"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YENİ EKLENEN MADDE</w:t>
            </w:r>
          </w:p>
          <w:p w14:paraId="4E298FCF"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TASFİYE SAYILAN HALLER</w:t>
            </w:r>
          </w:p>
          <w:p w14:paraId="2B7EDE07" w14:textId="24D500B1" w:rsidR="00991AD0" w:rsidRPr="00F25888" w:rsidRDefault="0084723E" w:rsidP="00991AD0">
            <w:pPr>
              <w:contextualSpacing/>
              <w:jc w:val="both"/>
              <w:rPr>
                <w:sz w:val="22"/>
                <w:szCs w:val="22"/>
                <w:lang w:val="tr-TR"/>
              </w:rPr>
            </w:pPr>
            <w:r w:rsidRPr="00F25888">
              <w:rPr>
                <w:rFonts w:eastAsiaTheme="minorEastAsia"/>
                <w:b/>
                <w:bCs/>
                <w:sz w:val="22"/>
                <w:szCs w:val="22"/>
                <w:highlight w:val="yellow"/>
                <w:u w:val="single"/>
                <w:lang w:val="tr-TR" w:eastAsia="ja-JP"/>
              </w:rPr>
              <w:t xml:space="preserve">MADDE </w:t>
            </w:r>
            <w:r w:rsidR="00991AD0"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3F8EEC5E" w14:textId="74209B51" w:rsidR="0084723E" w:rsidRPr="00F25888" w:rsidRDefault="00EB53FC" w:rsidP="00EB53FC">
            <w:pPr>
              <w:contextualSpacing/>
              <w:jc w:val="both"/>
              <w:rPr>
                <w:sz w:val="22"/>
                <w:szCs w:val="22"/>
                <w:lang w:val="tr-TR"/>
              </w:rPr>
            </w:pPr>
            <w:r w:rsidRPr="00F25888">
              <w:rPr>
                <w:rFonts w:eastAsia="Times"/>
                <w:noProof/>
                <w:sz w:val="22"/>
                <w:szCs w:val="22"/>
              </w:rPr>
              <w:lastRenderedPageBreak/>
              <w:t>Şirket’in herhangi bir nedenle (i) tasfiyeye girmesi, sona ermesi veya feshi, (ii) başka bir şirket ile birleşmesinin veya başka bir şirkete devrinin söz konusu olduğu bir işlemin gerçekleşmesi, (iii) TTK 408. maddesi (f) bendi anlamında önemli miktardaki malvarlığının satışı, kiraya verilmesi, devri, Fikri ve Sınai Mülkiyet Hakları üzerinde münhasır lisans verilmesi veya başka şekilde elden çıkartılmasını sağlayacak bir işlemin gerçekleştirilmesi veya (iv) Şirket’in çoğunluk paylarının satılması hallerinde (“</w:t>
            </w:r>
            <w:r w:rsidRPr="00F25888">
              <w:rPr>
                <w:rFonts w:eastAsia="Times"/>
                <w:b/>
                <w:bCs/>
                <w:noProof/>
                <w:sz w:val="22"/>
                <w:szCs w:val="22"/>
              </w:rPr>
              <w:t>Tasfiye Sayılan Haller</w:t>
            </w:r>
            <w:r w:rsidRPr="00F25888">
              <w:rPr>
                <w:rFonts w:eastAsia="Times"/>
                <w:noProof/>
                <w:sz w:val="22"/>
                <w:szCs w:val="22"/>
              </w:rPr>
              <w:t>”);</w:t>
            </w:r>
            <w:r w:rsidRPr="00F25888">
              <w:rPr>
                <w:rFonts w:eastAsia="Times"/>
                <w:noProof/>
                <w:sz w:val="22"/>
                <w:szCs w:val="22"/>
              </w:rPr>
              <w:t xml:space="preserve"> B Grubu Pay Sahibi’nin</w:t>
            </w:r>
            <w:r w:rsidRPr="00F25888">
              <w:rPr>
                <w:rFonts w:eastAsia="Times"/>
                <w:noProof/>
                <w:sz w:val="22"/>
                <w:szCs w:val="22"/>
              </w:rPr>
              <w:t>, bahsi geçen işlemlerden elde edilecek tüm aktif ve gelir (“</w:t>
            </w:r>
            <w:r w:rsidRPr="00F25888">
              <w:rPr>
                <w:rFonts w:eastAsia="Times"/>
                <w:b/>
                <w:bCs/>
                <w:noProof/>
                <w:sz w:val="22"/>
                <w:szCs w:val="22"/>
              </w:rPr>
              <w:t>Tasfiye Bakiyesi</w:t>
            </w:r>
            <w:r w:rsidRPr="00F25888">
              <w:rPr>
                <w:rFonts w:eastAsia="Times"/>
                <w:noProof/>
                <w:sz w:val="22"/>
                <w:szCs w:val="22"/>
              </w:rPr>
              <w:t xml:space="preserve">”) üzerinde bir imtiyazı olacak ve </w:t>
            </w:r>
            <w:r w:rsidRPr="00F25888">
              <w:rPr>
                <w:rFonts w:eastAsia="Times"/>
                <w:noProof/>
                <w:sz w:val="22"/>
                <w:szCs w:val="22"/>
              </w:rPr>
              <w:t>B Grubu Pay Sahibi</w:t>
            </w:r>
            <w:r w:rsidRPr="00F25888">
              <w:rPr>
                <w:rFonts w:eastAsia="Times"/>
                <w:noProof/>
                <w:sz w:val="22"/>
                <w:szCs w:val="22"/>
              </w:rPr>
              <w:t xml:space="preserve"> kendisinin Şirket’e o ana dek yatırdığı toplam yatırım tutarını (yatırım tarihinde Şirket nezdinde kaydedilen Amerikan Doları karşılığı üzerinden), Tasfiye Bakiyesi’nden diğer tüm Pay Sahipleri’nden öncelikli tahsil etme hakkı (“</w:t>
            </w:r>
            <w:r w:rsidRPr="00F25888">
              <w:rPr>
                <w:rFonts w:eastAsia="Times"/>
                <w:b/>
                <w:bCs/>
                <w:noProof/>
                <w:sz w:val="22"/>
                <w:szCs w:val="22"/>
              </w:rPr>
              <w:t>Tasfiye Payında İmtiyaz</w:t>
            </w:r>
            <w:r w:rsidRPr="00F25888">
              <w:rPr>
                <w:rFonts w:eastAsia="Times"/>
                <w:noProof/>
                <w:sz w:val="22"/>
                <w:szCs w:val="22"/>
              </w:rPr>
              <w:t xml:space="preserve">”) olacaktır. </w:t>
            </w:r>
            <w:r w:rsidRPr="00F25888">
              <w:rPr>
                <w:rFonts w:eastAsia="Times"/>
                <w:noProof/>
                <w:sz w:val="22"/>
                <w:szCs w:val="22"/>
              </w:rPr>
              <w:t>B Grubu Pay Sahibi’nin</w:t>
            </w:r>
            <w:r w:rsidRPr="00F25888">
              <w:rPr>
                <w:rFonts w:eastAsia="Times"/>
                <w:noProof/>
                <w:sz w:val="22"/>
                <w:szCs w:val="22"/>
              </w:rPr>
              <w:t xml:space="preserve"> Tasfiye Payında İmtiyazı’nı kullanması sonrasında da dağıtılabilir bir Tasfiye Bakiyesi bulunmakta ise kalan Tasfiye Bakiyesi, </w:t>
            </w:r>
            <w:r w:rsidRPr="00F25888">
              <w:rPr>
                <w:rFonts w:eastAsia="Times"/>
                <w:noProof/>
                <w:sz w:val="22"/>
                <w:szCs w:val="22"/>
              </w:rPr>
              <w:t xml:space="preserve">B Grubu Pay Sahibi </w:t>
            </w:r>
            <w:r w:rsidRPr="00F25888">
              <w:rPr>
                <w:rFonts w:eastAsia="Times"/>
                <w:noProof/>
                <w:sz w:val="22"/>
                <w:szCs w:val="22"/>
              </w:rPr>
              <w:t>d</w:t>
            </w:r>
            <w:r w:rsidRPr="00F25888">
              <w:rPr>
                <w:rFonts w:eastAsia="Times"/>
                <w:noProof/>
                <w:sz w:val="22"/>
                <w:szCs w:val="22"/>
              </w:rPr>
              <w:t>e</w:t>
            </w:r>
            <w:r w:rsidRPr="00F25888">
              <w:rPr>
                <w:rFonts w:eastAsia="Times"/>
                <w:noProof/>
                <w:sz w:val="22"/>
                <w:szCs w:val="22"/>
              </w:rPr>
              <w:t xml:space="preserve"> dahil olmak üzere tüm Pay Sahipleri’ne Şirket’teki pay sahiplik oranları dahilinde dağıtılacaktır</w:t>
            </w:r>
          </w:p>
        </w:tc>
      </w:tr>
      <w:tr w:rsidR="0084723E" w:rsidRPr="00F25888" w14:paraId="044F087D" w14:textId="77777777" w:rsidTr="00807322">
        <w:trPr>
          <w:trHeight w:val="575"/>
        </w:trPr>
        <w:tc>
          <w:tcPr>
            <w:tcW w:w="4678" w:type="dxa"/>
            <w:tcBorders>
              <w:top w:val="single" w:sz="4" w:space="0" w:color="auto"/>
              <w:left w:val="single" w:sz="4" w:space="0" w:color="auto"/>
              <w:bottom w:val="single" w:sz="4" w:space="0" w:color="auto"/>
              <w:right w:val="single" w:sz="4" w:space="0" w:color="auto"/>
            </w:tcBorders>
          </w:tcPr>
          <w:p w14:paraId="710E8FEB" w14:textId="77777777" w:rsidR="0084723E" w:rsidRPr="00F25888" w:rsidRDefault="0084723E" w:rsidP="00487E2F">
            <w:pPr>
              <w:contextualSpacing/>
              <w:jc w:val="both"/>
              <w:rPr>
                <w:rFonts w:eastAsiaTheme="minorEastAsia"/>
                <w:b/>
                <w:bCs/>
                <w:sz w:val="22"/>
                <w:szCs w:val="22"/>
                <w:lang w:val="tr-TR" w:eastAsia="ja-JP"/>
              </w:rPr>
            </w:pPr>
          </w:p>
        </w:tc>
        <w:tc>
          <w:tcPr>
            <w:tcW w:w="4678" w:type="dxa"/>
            <w:tcBorders>
              <w:top w:val="single" w:sz="4" w:space="0" w:color="auto"/>
              <w:left w:val="single" w:sz="4" w:space="0" w:color="auto"/>
              <w:bottom w:val="single" w:sz="4" w:space="0" w:color="auto"/>
              <w:right w:val="single" w:sz="4" w:space="0" w:color="auto"/>
            </w:tcBorders>
          </w:tcPr>
          <w:p w14:paraId="56B41F8F"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YENİ EKLENEN MADDE</w:t>
            </w:r>
          </w:p>
          <w:p w14:paraId="572B8E16" w14:textId="77777777" w:rsidR="0084723E" w:rsidRPr="00F25888" w:rsidRDefault="0084723E" w:rsidP="00487E2F">
            <w:pPr>
              <w:contextualSpacing/>
              <w:jc w:val="both"/>
              <w:rPr>
                <w:rFonts w:eastAsiaTheme="minorEastAsia"/>
                <w:b/>
                <w:bCs/>
                <w:sz w:val="22"/>
                <w:szCs w:val="22"/>
                <w:lang w:val="tr-TR" w:eastAsia="ja-JP"/>
              </w:rPr>
            </w:pPr>
            <w:r w:rsidRPr="00F25888">
              <w:rPr>
                <w:rFonts w:eastAsiaTheme="minorEastAsia"/>
                <w:b/>
                <w:bCs/>
                <w:sz w:val="22"/>
                <w:szCs w:val="22"/>
                <w:lang w:val="tr-TR" w:eastAsia="ja-JP"/>
              </w:rPr>
              <w:t>RAPORLAMA VE BİLGİ ALMA HAKKI</w:t>
            </w:r>
          </w:p>
          <w:p w14:paraId="0B5AC3DF" w14:textId="351F2135" w:rsidR="0084723E" w:rsidRPr="00F25888" w:rsidRDefault="0084723E" w:rsidP="00991AD0">
            <w:pPr>
              <w:contextualSpacing/>
              <w:jc w:val="both"/>
              <w:rPr>
                <w:b/>
                <w:bCs/>
                <w:sz w:val="22"/>
                <w:szCs w:val="22"/>
                <w:u w:val="single"/>
                <w:lang w:val="tr-TR" w:eastAsia="ja-JP"/>
              </w:rPr>
            </w:pPr>
            <w:r w:rsidRPr="00F25888">
              <w:rPr>
                <w:rFonts w:eastAsiaTheme="minorEastAsia"/>
                <w:b/>
                <w:bCs/>
                <w:sz w:val="22"/>
                <w:szCs w:val="22"/>
                <w:highlight w:val="yellow"/>
                <w:u w:val="single"/>
                <w:lang w:val="tr-TR" w:eastAsia="ja-JP"/>
              </w:rPr>
              <w:t xml:space="preserve">MADDE </w:t>
            </w:r>
            <w:r w:rsidR="00991AD0" w:rsidRPr="00F25888">
              <w:rPr>
                <w:rFonts w:eastAsiaTheme="minorEastAsia"/>
                <w:b/>
                <w:bCs/>
                <w:sz w:val="22"/>
                <w:szCs w:val="22"/>
                <w:highlight w:val="yellow"/>
                <w:u w:val="single"/>
                <w:lang w:val="tr-TR" w:eastAsia="ja-JP"/>
              </w:rPr>
              <w:t>[.]</w:t>
            </w:r>
            <w:r w:rsidRPr="00F25888">
              <w:rPr>
                <w:rFonts w:eastAsiaTheme="minorEastAsia"/>
                <w:b/>
                <w:bCs/>
                <w:sz w:val="22"/>
                <w:szCs w:val="22"/>
                <w:highlight w:val="yellow"/>
                <w:u w:val="single"/>
                <w:lang w:val="tr-TR" w:eastAsia="ja-JP"/>
              </w:rPr>
              <w:t>-</w:t>
            </w:r>
          </w:p>
          <w:p w14:paraId="0208E98E" w14:textId="2263ABAE" w:rsidR="00292BA7" w:rsidRPr="00F25888" w:rsidRDefault="00292BA7" w:rsidP="00292BA7">
            <w:pPr>
              <w:pStyle w:val="LO-normal"/>
              <w:widowControl w:val="0"/>
              <w:spacing w:line="276" w:lineRule="auto"/>
              <w:jc w:val="both"/>
              <w:rPr>
                <w:rFonts w:eastAsia="Times" w:cs="Times New Roman"/>
                <w:noProof/>
                <w:sz w:val="22"/>
                <w:szCs w:val="22"/>
              </w:rPr>
            </w:pPr>
            <w:r w:rsidRPr="00F25888">
              <w:rPr>
                <w:rFonts w:eastAsia="Times" w:cs="Times New Roman"/>
                <w:noProof/>
                <w:sz w:val="22"/>
                <w:szCs w:val="22"/>
              </w:rPr>
              <w:t>A Grubu Pay Sahipleri</w:t>
            </w:r>
            <w:r w:rsidRPr="00F25888">
              <w:rPr>
                <w:rFonts w:eastAsia="Times" w:cs="Times New Roman"/>
                <w:noProof/>
                <w:sz w:val="22"/>
                <w:szCs w:val="22"/>
              </w:rPr>
              <w:t xml:space="preserve"> ve Şirket aşağıdaki hususların gerçekleşmesini sağlayacaktır:</w:t>
            </w:r>
          </w:p>
          <w:p w14:paraId="2AF4908E" w14:textId="77777777" w:rsidR="00292BA7" w:rsidRPr="00F25888" w:rsidRDefault="00292BA7" w:rsidP="00292BA7">
            <w:pPr>
              <w:pStyle w:val="ListeParagraf"/>
              <w:spacing w:line="276" w:lineRule="auto"/>
              <w:jc w:val="both"/>
              <w:rPr>
                <w:rFonts w:eastAsia="Times"/>
                <w:noProof/>
                <w:color w:val="000000"/>
                <w:sz w:val="22"/>
                <w:szCs w:val="22"/>
              </w:rPr>
            </w:pPr>
            <w:bookmarkStart w:id="0" w:name="_Hlk153531014"/>
          </w:p>
          <w:p w14:paraId="035A5243" w14:textId="7DA2A7FE" w:rsidR="00292BA7" w:rsidRPr="00F25888" w:rsidRDefault="00292BA7" w:rsidP="00292BA7">
            <w:pPr>
              <w:pStyle w:val="ListeParagraf"/>
              <w:numPr>
                <w:ilvl w:val="0"/>
                <w:numId w:val="22"/>
              </w:numPr>
              <w:spacing w:line="276" w:lineRule="auto"/>
              <w:contextualSpacing w:val="0"/>
              <w:jc w:val="both"/>
              <w:rPr>
                <w:rFonts w:eastAsia="Times"/>
                <w:noProof/>
                <w:color w:val="000000"/>
                <w:sz w:val="22"/>
                <w:szCs w:val="22"/>
              </w:rPr>
            </w:pPr>
            <w:bookmarkStart w:id="1" w:name="_Hlk144993867"/>
            <w:r w:rsidRPr="00F25888">
              <w:rPr>
                <w:rFonts w:eastAsia="Times"/>
                <w:noProof/>
                <w:color w:val="000000"/>
                <w:sz w:val="22"/>
                <w:szCs w:val="22"/>
              </w:rPr>
              <w:t xml:space="preserve">Her 3 (üç) ayda bir, ilgili geçmiş döneme ilişkin Şirket’e ait güncellenmiş gelir tablosu, bilanço, nakit akım tablosu ve bunları destekleyici mizan ve muavinlerini, ayrıca diğer finansal ve operasyonel konulara ilişkin verileri ve güncellemeleri içeren raporları, Şirket’in ve </w:t>
            </w:r>
            <w:r w:rsidRPr="00F25888">
              <w:rPr>
                <w:rFonts w:eastAsia="Times"/>
                <w:noProof/>
                <w:color w:val="000000"/>
                <w:sz w:val="22"/>
                <w:szCs w:val="22"/>
              </w:rPr>
              <w:t>A Grubu Pay Sahipleri’nin</w:t>
            </w:r>
            <w:r w:rsidRPr="00F25888">
              <w:rPr>
                <w:rFonts w:eastAsia="Times"/>
                <w:noProof/>
                <w:color w:val="000000"/>
                <w:sz w:val="22"/>
                <w:szCs w:val="22"/>
              </w:rPr>
              <w:t xml:space="preserve"> olağan faaliyetleri kapsamında varsa ilişkili tarafları ve/veya bağlı kişileri ile gerçekleştirdiği işlemleri, Yatırım Tutarı’nın kullanımına ve kullanım yerine ilişkin hazırlanacak raporu </w:t>
            </w:r>
            <w:r w:rsidRPr="00F25888">
              <w:rPr>
                <w:rFonts w:eastAsia="Times"/>
                <w:noProof/>
                <w:color w:val="000000"/>
                <w:sz w:val="22"/>
                <w:szCs w:val="22"/>
              </w:rPr>
              <w:t xml:space="preserve">B Grubu Pay Sahibi’ne </w:t>
            </w:r>
            <w:r w:rsidRPr="00F25888">
              <w:rPr>
                <w:rFonts w:eastAsia="Times"/>
                <w:noProof/>
                <w:color w:val="000000"/>
                <w:sz w:val="22"/>
                <w:szCs w:val="22"/>
              </w:rPr>
              <w:t>gönderilecektir.</w:t>
            </w:r>
          </w:p>
          <w:p w14:paraId="3B128113" w14:textId="700E7763" w:rsidR="00292BA7" w:rsidRPr="00F25888" w:rsidRDefault="00292BA7" w:rsidP="00292BA7">
            <w:pPr>
              <w:pStyle w:val="ListeParagraf"/>
              <w:numPr>
                <w:ilvl w:val="0"/>
                <w:numId w:val="22"/>
              </w:numPr>
              <w:spacing w:line="276" w:lineRule="auto"/>
              <w:contextualSpacing w:val="0"/>
              <w:jc w:val="both"/>
              <w:rPr>
                <w:rFonts w:eastAsia="Times"/>
                <w:noProof/>
                <w:color w:val="000000"/>
                <w:sz w:val="22"/>
                <w:szCs w:val="22"/>
              </w:rPr>
            </w:pPr>
            <w:r w:rsidRPr="00F25888">
              <w:rPr>
                <w:rFonts w:eastAsia="Times"/>
                <w:noProof/>
                <w:color w:val="000000"/>
                <w:sz w:val="22"/>
                <w:szCs w:val="22"/>
              </w:rPr>
              <w:t xml:space="preserve">Şirket’in dava, takip, tahkim, soruşturma, inceleme, denetim ve benzeri hususlara taraf olması durumunda, bu durum </w:t>
            </w:r>
            <w:r w:rsidRPr="00F25888">
              <w:rPr>
                <w:rFonts w:eastAsia="Times"/>
                <w:noProof/>
                <w:color w:val="000000"/>
                <w:sz w:val="22"/>
                <w:szCs w:val="22"/>
              </w:rPr>
              <w:t>B Grubu Pay Sahibi’ne</w:t>
            </w:r>
            <w:r w:rsidRPr="00F25888">
              <w:rPr>
                <w:rFonts w:eastAsia="Times"/>
                <w:noProof/>
                <w:color w:val="000000"/>
                <w:sz w:val="22"/>
                <w:szCs w:val="22"/>
              </w:rPr>
              <w:t xml:space="preserve"> derhal bildirilecek ve ilgili sürecin takibi açısından altı aylık </w:t>
            </w:r>
            <w:r w:rsidRPr="00F25888">
              <w:rPr>
                <w:rFonts w:eastAsia="Times"/>
                <w:noProof/>
                <w:color w:val="000000"/>
                <w:sz w:val="22"/>
                <w:szCs w:val="22"/>
              </w:rPr>
              <w:lastRenderedPageBreak/>
              <w:t xml:space="preserve">sürelerle </w:t>
            </w:r>
            <w:r w:rsidRPr="00F25888">
              <w:rPr>
                <w:rFonts w:eastAsia="Times"/>
                <w:noProof/>
                <w:color w:val="000000"/>
                <w:sz w:val="22"/>
                <w:szCs w:val="22"/>
              </w:rPr>
              <w:t>B Grubu Pay Sahibi’ne r</w:t>
            </w:r>
            <w:r w:rsidRPr="00F25888">
              <w:rPr>
                <w:rFonts w:eastAsia="Times"/>
                <w:noProof/>
                <w:color w:val="000000"/>
                <w:sz w:val="22"/>
                <w:szCs w:val="22"/>
              </w:rPr>
              <w:t xml:space="preserve">aporlama yapılmaya devam edilecektir. </w:t>
            </w:r>
          </w:p>
          <w:p w14:paraId="4FEE7A3C" w14:textId="0E0A7261" w:rsidR="00292BA7" w:rsidRPr="00F25888" w:rsidRDefault="00292BA7" w:rsidP="00292BA7">
            <w:pPr>
              <w:pStyle w:val="ListeParagraf"/>
              <w:numPr>
                <w:ilvl w:val="0"/>
                <w:numId w:val="22"/>
              </w:numPr>
              <w:spacing w:line="276" w:lineRule="auto"/>
              <w:contextualSpacing w:val="0"/>
              <w:jc w:val="both"/>
              <w:rPr>
                <w:rFonts w:eastAsia="Times"/>
                <w:noProof/>
                <w:color w:val="000000"/>
                <w:sz w:val="22"/>
                <w:szCs w:val="22"/>
              </w:rPr>
            </w:pPr>
            <w:r w:rsidRPr="00F25888">
              <w:rPr>
                <w:rFonts w:eastAsia="Times"/>
                <w:noProof/>
                <w:color w:val="000000"/>
                <w:sz w:val="22"/>
                <w:szCs w:val="22"/>
              </w:rPr>
              <w:t xml:space="preserve">Şirket’in yönetim kurulu ve genel kurul toplantılarına dair her türlü ilişkili evrakı (alınan kararlar vb.) ilgili toplantıyı takip eden en geç 5 (beş) gün içerisinde </w:t>
            </w:r>
            <w:r w:rsidRPr="00F25888">
              <w:rPr>
                <w:rFonts w:eastAsia="Times"/>
                <w:noProof/>
                <w:color w:val="000000"/>
                <w:sz w:val="22"/>
                <w:szCs w:val="22"/>
              </w:rPr>
              <w:t xml:space="preserve">B Grubu Pay Sahibi </w:t>
            </w:r>
            <w:r w:rsidRPr="00F25888">
              <w:rPr>
                <w:rFonts w:eastAsia="Times"/>
                <w:noProof/>
                <w:color w:val="000000"/>
                <w:sz w:val="22"/>
                <w:szCs w:val="22"/>
              </w:rPr>
              <w:t>ile paylaşılacaktır.</w:t>
            </w:r>
          </w:p>
          <w:p w14:paraId="0AD442D1" w14:textId="135756F5" w:rsidR="00292BA7" w:rsidRPr="00F25888" w:rsidRDefault="00292BA7" w:rsidP="00292BA7">
            <w:pPr>
              <w:pStyle w:val="ListeParagraf"/>
              <w:numPr>
                <w:ilvl w:val="0"/>
                <w:numId w:val="22"/>
              </w:numPr>
              <w:spacing w:line="276" w:lineRule="auto"/>
              <w:contextualSpacing w:val="0"/>
              <w:jc w:val="both"/>
              <w:rPr>
                <w:rFonts w:eastAsia="Times"/>
                <w:noProof/>
                <w:color w:val="000000"/>
                <w:sz w:val="22"/>
                <w:szCs w:val="22"/>
              </w:rPr>
            </w:pPr>
            <w:r w:rsidRPr="00F25888">
              <w:rPr>
                <w:rFonts w:eastAsia="Times"/>
                <w:noProof/>
                <w:color w:val="000000"/>
                <w:sz w:val="22"/>
                <w:szCs w:val="22"/>
              </w:rPr>
              <w:t xml:space="preserve">B Grubu Pay Sahibi </w:t>
            </w:r>
            <w:r w:rsidRPr="00F25888">
              <w:rPr>
                <w:rFonts w:eastAsia="Times"/>
                <w:noProof/>
                <w:color w:val="000000"/>
                <w:sz w:val="22"/>
                <w:szCs w:val="22"/>
              </w:rPr>
              <w:t xml:space="preserve">Şirket’e önceden yazılı olarak bildirilecek bir temsilci vasıtasıyla, normal mesai saatleri içerisinde Şirket’in muhasebe defterlerini ve diğer kayıtlarını Şirket merkezinde inceleme ve finansal tablolar, vergi beyanları, vergi makbuzları ve vergi ödemeleri ile ilgili kanıt niteliğindeki diğer makbuzlar da dahil olmak üzere ancak bunlarla sınırlı olmaksızın bunların kopyalarını alma hakkına sahip olacaktır. </w:t>
            </w:r>
          </w:p>
          <w:p w14:paraId="4A5D9CA3" w14:textId="7C11A0C5" w:rsidR="00991AD0" w:rsidRPr="00F25888" w:rsidRDefault="00EB53FC" w:rsidP="00292BA7">
            <w:pPr>
              <w:pStyle w:val="ListeParagraf"/>
              <w:numPr>
                <w:ilvl w:val="0"/>
                <w:numId w:val="22"/>
              </w:numPr>
              <w:spacing w:line="276" w:lineRule="auto"/>
              <w:contextualSpacing w:val="0"/>
              <w:jc w:val="both"/>
              <w:rPr>
                <w:rFonts w:eastAsia="Times"/>
                <w:noProof/>
                <w:color w:val="000000"/>
                <w:sz w:val="22"/>
                <w:szCs w:val="22"/>
              </w:rPr>
            </w:pPr>
            <w:r w:rsidRPr="00F25888">
              <w:rPr>
                <w:rFonts w:eastAsia="Times"/>
                <w:noProof/>
                <w:color w:val="000000"/>
                <w:sz w:val="22"/>
                <w:szCs w:val="22"/>
              </w:rPr>
              <w:t>B Grubu Pay Sahibi</w:t>
            </w:r>
            <w:r w:rsidR="00292BA7" w:rsidRPr="00F25888">
              <w:rPr>
                <w:rFonts w:eastAsia="Times"/>
                <w:noProof/>
                <w:color w:val="000000"/>
                <w:sz w:val="22"/>
                <w:szCs w:val="22"/>
              </w:rPr>
              <w:t xml:space="preserve">, masraflarını kendisi karşılamak şartıyla, gerek gördüğü takdirde rutin haricinde, en az 15 (on beş) gün önceden Şirket’e bilgi vermek şartıyla, Şirket nezdinde mali, hukuki veya benzeri bir denetim çalışması ve/veya değerleme çalışması yapabilecek ve bu konuda uzman üçüncü kişilerden hizmet alabilecektir. </w:t>
            </w:r>
            <w:r w:rsidRPr="00F25888">
              <w:rPr>
                <w:rFonts w:eastAsia="Times"/>
                <w:noProof/>
                <w:color w:val="000000"/>
                <w:sz w:val="22"/>
                <w:szCs w:val="22"/>
              </w:rPr>
              <w:t xml:space="preserve">A Grubu Pay Sahipleri </w:t>
            </w:r>
            <w:r w:rsidR="00292BA7" w:rsidRPr="00F25888">
              <w:rPr>
                <w:rFonts w:eastAsia="Times"/>
                <w:noProof/>
                <w:color w:val="000000"/>
                <w:sz w:val="22"/>
                <w:szCs w:val="22"/>
              </w:rPr>
              <w:t>ve Şirket, söz konusu denetimin ve/veya değerleme çalışmasının gerçekleşmesi için, gerekli bilgi ve belgelerin temin edilmesi de dahil ancak bununla sınırlı olmamak üzere tam iş birliği göstereceklerdir</w:t>
            </w:r>
            <w:bookmarkEnd w:id="1"/>
            <w:r w:rsidR="00292BA7" w:rsidRPr="00F25888">
              <w:rPr>
                <w:rFonts w:eastAsia="Times"/>
                <w:noProof/>
                <w:color w:val="000000"/>
                <w:sz w:val="22"/>
                <w:szCs w:val="22"/>
              </w:rPr>
              <w:t>.</w:t>
            </w:r>
            <w:bookmarkEnd w:id="0"/>
          </w:p>
        </w:tc>
      </w:tr>
    </w:tbl>
    <w:p w14:paraId="67054CC5" w14:textId="77777777" w:rsidR="0084723E" w:rsidRPr="00F25888" w:rsidRDefault="0084723E" w:rsidP="00665691">
      <w:pPr>
        <w:spacing w:line="360" w:lineRule="auto"/>
        <w:rPr>
          <w:rFonts w:eastAsia="Calibri"/>
          <w:b/>
          <w:bCs/>
          <w:sz w:val="22"/>
          <w:szCs w:val="22"/>
          <w:lang w:val="tr-TR"/>
        </w:rPr>
      </w:pPr>
    </w:p>
    <w:tbl>
      <w:tblPr>
        <w:tblStyle w:val="TabloKlavuzu"/>
        <w:tblpPr w:leftFromText="141" w:rightFromText="141" w:vertAnchor="text" w:horzAnchor="margin" w:tblpY="25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560"/>
      </w:tblGrid>
      <w:tr w:rsidR="009D3A2B" w:rsidRPr="00F25888" w14:paraId="7280D617" w14:textId="77777777" w:rsidTr="00487E2F">
        <w:tc>
          <w:tcPr>
            <w:tcW w:w="2265" w:type="dxa"/>
          </w:tcPr>
          <w:p w14:paraId="7AE92E1B" w14:textId="77777777" w:rsidR="009D3A2B" w:rsidRPr="00F25888" w:rsidRDefault="009D3A2B" w:rsidP="00487E2F">
            <w:pPr>
              <w:spacing w:line="360" w:lineRule="auto"/>
              <w:jc w:val="both"/>
              <w:rPr>
                <w:b/>
                <w:sz w:val="22"/>
                <w:szCs w:val="22"/>
                <w:lang w:val="tr-TR"/>
              </w:rPr>
            </w:pPr>
            <w:r w:rsidRPr="00F25888">
              <w:rPr>
                <w:b/>
                <w:sz w:val="22"/>
                <w:szCs w:val="22"/>
                <w:lang w:val="tr-TR"/>
              </w:rPr>
              <w:t>Toplantı Başkanı</w:t>
            </w:r>
          </w:p>
          <w:p w14:paraId="5E9ABB6A" w14:textId="613D86D7" w:rsidR="009D3A2B" w:rsidRPr="00F25888" w:rsidRDefault="00372F18" w:rsidP="00487E2F">
            <w:pPr>
              <w:spacing w:line="360" w:lineRule="auto"/>
              <w:jc w:val="both"/>
              <w:rPr>
                <w:b/>
                <w:sz w:val="22"/>
                <w:szCs w:val="22"/>
                <w:lang w:val="tr-TR"/>
              </w:rPr>
            </w:pPr>
            <w:r w:rsidRPr="00F25888">
              <w:rPr>
                <w:b/>
                <w:sz w:val="22"/>
                <w:szCs w:val="22"/>
                <w:lang w:val="tr-TR"/>
              </w:rPr>
              <w:t>[.]</w:t>
            </w:r>
            <w:r w:rsidR="009D3A2B" w:rsidRPr="00F25888">
              <w:rPr>
                <w:b/>
                <w:sz w:val="22"/>
                <w:szCs w:val="22"/>
                <w:lang w:val="tr-TR"/>
              </w:rPr>
              <w:t xml:space="preserve">                                                    </w:t>
            </w:r>
          </w:p>
        </w:tc>
        <w:tc>
          <w:tcPr>
            <w:tcW w:w="2265" w:type="dxa"/>
          </w:tcPr>
          <w:p w14:paraId="6AF56330" w14:textId="77777777" w:rsidR="009D3A2B" w:rsidRPr="00F25888" w:rsidRDefault="009D3A2B" w:rsidP="00487E2F">
            <w:pPr>
              <w:spacing w:line="360" w:lineRule="auto"/>
              <w:jc w:val="both"/>
              <w:rPr>
                <w:b/>
                <w:sz w:val="22"/>
                <w:szCs w:val="22"/>
                <w:lang w:val="tr-TR"/>
              </w:rPr>
            </w:pPr>
            <w:r w:rsidRPr="00F25888">
              <w:rPr>
                <w:b/>
                <w:sz w:val="22"/>
                <w:szCs w:val="22"/>
                <w:lang w:val="tr-TR"/>
              </w:rPr>
              <w:t>Bakanlık Temsilcisi</w:t>
            </w:r>
          </w:p>
          <w:p w14:paraId="459E91B9" w14:textId="5013467A" w:rsidR="009D3A2B" w:rsidRPr="00F25888" w:rsidRDefault="00372F18" w:rsidP="00487E2F">
            <w:pPr>
              <w:spacing w:line="360" w:lineRule="auto"/>
              <w:jc w:val="both"/>
              <w:rPr>
                <w:b/>
                <w:sz w:val="22"/>
                <w:szCs w:val="22"/>
                <w:lang w:val="tr-TR"/>
              </w:rPr>
            </w:pPr>
            <w:r w:rsidRPr="00F25888">
              <w:rPr>
                <w:b/>
                <w:sz w:val="22"/>
                <w:szCs w:val="22"/>
                <w:lang w:val="tr-TR"/>
              </w:rPr>
              <w:t>[.]</w:t>
            </w:r>
          </w:p>
        </w:tc>
        <w:tc>
          <w:tcPr>
            <w:tcW w:w="2266" w:type="dxa"/>
          </w:tcPr>
          <w:p w14:paraId="6F4935DA" w14:textId="77777777" w:rsidR="009D3A2B" w:rsidRPr="00F25888" w:rsidRDefault="009D3A2B" w:rsidP="00487E2F">
            <w:pPr>
              <w:spacing w:line="360" w:lineRule="auto"/>
              <w:jc w:val="both"/>
              <w:rPr>
                <w:b/>
                <w:sz w:val="22"/>
                <w:szCs w:val="22"/>
                <w:lang w:val="tr-TR"/>
              </w:rPr>
            </w:pPr>
            <w:r w:rsidRPr="00F25888">
              <w:rPr>
                <w:b/>
                <w:sz w:val="22"/>
                <w:szCs w:val="22"/>
                <w:lang w:val="tr-TR"/>
              </w:rPr>
              <w:t xml:space="preserve">Tutanak Yazmanı </w:t>
            </w:r>
          </w:p>
          <w:p w14:paraId="66A3EF9E" w14:textId="7F4BC106" w:rsidR="009D3A2B" w:rsidRPr="00F25888" w:rsidRDefault="00372F18" w:rsidP="00487E2F">
            <w:pPr>
              <w:spacing w:line="360" w:lineRule="auto"/>
              <w:jc w:val="both"/>
              <w:rPr>
                <w:b/>
                <w:sz w:val="22"/>
                <w:szCs w:val="22"/>
                <w:lang w:val="tr-TR"/>
              </w:rPr>
            </w:pPr>
            <w:r w:rsidRPr="00F25888">
              <w:rPr>
                <w:b/>
                <w:sz w:val="22"/>
                <w:szCs w:val="22"/>
                <w:lang w:val="tr-TR"/>
              </w:rPr>
              <w:t>[.]</w:t>
            </w:r>
          </w:p>
        </w:tc>
        <w:tc>
          <w:tcPr>
            <w:tcW w:w="2560" w:type="dxa"/>
          </w:tcPr>
          <w:p w14:paraId="3A2C7151" w14:textId="77777777" w:rsidR="009D3A2B" w:rsidRPr="00F25888" w:rsidRDefault="009D3A2B" w:rsidP="00487E2F">
            <w:pPr>
              <w:spacing w:line="360" w:lineRule="auto"/>
              <w:jc w:val="both"/>
              <w:rPr>
                <w:b/>
                <w:sz w:val="22"/>
                <w:szCs w:val="22"/>
                <w:lang w:val="tr-TR"/>
              </w:rPr>
            </w:pPr>
            <w:r w:rsidRPr="00F25888">
              <w:rPr>
                <w:b/>
                <w:sz w:val="22"/>
                <w:szCs w:val="22"/>
                <w:lang w:val="tr-TR"/>
              </w:rPr>
              <w:t xml:space="preserve">Yönetim Kurulu Üyesi </w:t>
            </w:r>
          </w:p>
          <w:p w14:paraId="73881C2C" w14:textId="42709195" w:rsidR="009D3A2B" w:rsidRPr="00F25888" w:rsidRDefault="009D3A2B" w:rsidP="00487E2F">
            <w:pPr>
              <w:spacing w:line="360" w:lineRule="auto"/>
              <w:jc w:val="both"/>
              <w:rPr>
                <w:b/>
                <w:sz w:val="22"/>
                <w:szCs w:val="22"/>
                <w:lang w:val="tr-TR"/>
              </w:rPr>
            </w:pPr>
            <w:r w:rsidRPr="00F25888">
              <w:rPr>
                <w:b/>
                <w:sz w:val="22"/>
                <w:szCs w:val="22"/>
                <w:lang w:val="tr-TR"/>
              </w:rPr>
              <w:t xml:space="preserve">       </w:t>
            </w:r>
            <w:r w:rsidR="00372F18" w:rsidRPr="00F25888">
              <w:rPr>
                <w:b/>
                <w:sz w:val="22"/>
                <w:szCs w:val="22"/>
                <w:lang w:val="tr-TR"/>
              </w:rPr>
              <w:t>[.]</w:t>
            </w:r>
          </w:p>
          <w:p w14:paraId="56040000" w14:textId="68E3502F" w:rsidR="009D3A2B" w:rsidRPr="00F25888" w:rsidRDefault="009D3A2B" w:rsidP="00487E2F">
            <w:pPr>
              <w:spacing w:line="360" w:lineRule="auto"/>
              <w:jc w:val="both"/>
              <w:rPr>
                <w:b/>
                <w:sz w:val="22"/>
                <w:szCs w:val="22"/>
                <w:lang w:val="tr-TR"/>
              </w:rPr>
            </w:pPr>
          </w:p>
        </w:tc>
      </w:tr>
    </w:tbl>
    <w:p w14:paraId="1A2B9FDF" w14:textId="784A33BB" w:rsidR="009D3A2B" w:rsidRPr="00F25888" w:rsidRDefault="009D3A2B" w:rsidP="009D3A2B">
      <w:pPr>
        <w:spacing w:before="200" w:after="200"/>
        <w:jc w:val="both"/>
        <w:rPr>
          <w:sz w:val="22"/>
          <w:szCs w:val="22"/>
          <w:lang w:val="tr-TR"/>
        </w:rPr>
      </w:pPr>
      <w:r w:rsidRPr="00F25888">
        <w:rPr>
          <w:sz w:val="22"/>
          <w:szCs w:val="22"/>
          <w:lang w:val="tr-TR"/>
        </w:rPr>
        <w:t>_______________                 _______________                    _______________                      _______________</w:t>
      </w:r>
    </w:p>
    <w:p w14:paraId="314FEA8B" w14:textId="16A0DCB2" w:rsidR="009D3A2B" w:rsidRPr="00F25888" w:rsidRDefault="009D3A2B" w:rsidP="009D3A2B">
      <w:pPr>
        <w:spacing w:before="200" w:after="200"/>
        <w:jc w:val="both"/>
        <w:rPr>
          <w:sz w:val="22"/>
          <w:szCs w:val="22"/>
          <w:lang w:val="tr-TR"/>
        </w:rPr>
      </w:pPr>
    </w:p>
    <w:p w14:paraId="426DA339" w14:textId="61E5AFE2" w:rsidR="009D3A2B" w:rsidRPr="00F25888" w:rsidRDefault="009D3A2B" w:rsidP="009D3A2B">
      <w:pPr>
        <w:spacing w:before="200" w:after="200"/>
        <w:jc w:val="both"/>
        <w:rPr>
          <w:sz w:val="22"/>
          <w:szCs w:val="22"/>
          <w:lang w:val="tr-TR"/>
        </w:rPr>
      </w:pPr>
    </w:p>
    <w:p w14:paraId="402B4299" w14:textId="031BAA16" w:rsidR="00720638" w:rsidRPr="00F25888" w:rsidRDefault="00720638" w:rsidP="0001550F">
      <w:pPr>
        <w:spacing w:before="200" w:after="200"/>
        <w:jc w:val="both"/>
        <w:rPr>
          <w:sz w:val="22"/>
          <w:szCs w:val="22"/>
          <w:lang w:val="tr-TR"/>
        </w:rPr>
      </w:pPr>
    </w:p>
    <w:p w14:paraId="23329CAB" w14:textId="77777777" w:rsidR="009D3A2B" w:rsidRPr="00F25888" w:rsidRDefault="009D3A2B" w:rsidP="0001550F">
      <w:pPr>
        <w:spacing w:before="200" w:after="200"/>
        <w:jc w:val="both"/>
        <w:rPr>
          <w:sz w:val="22"/>
          <w:szCs w:val="22"/>
          <w:lang w:val="tr-TR"/>
        </w:rPr>
      </w:pPr>
    </w:p>
    <w:sectPr w:rsidR="009D3A2B" w:rsidRPr="00F2588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D6F6" w14:textId="77777777" w:rsidR="00530C89" w:rsidRDefault="00530C89" w:rsidP="003B0055">
      <w:r>
        <w:separator/>
      </w:r>
    </w:p>
  </w:endnote>
  <w:endnote w:type="continuationSeparator" w:id="0">
    <w:p w14:paraId="15FF6C47" w14:textId="77777777" w:rsidR="00530C89" w:rsidRDefault="00530C89" w:rsidP="003B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277822"/>
      <w:docPartObj>
        <w:docPartGallery w:val="Page Numbers (Bottom of Page)"/>
        <w:docPartUnique/>
      </w:docPartObj>
    </w:sdtPr>
    <w:sdtEndPr/>
    <w:sdtContent>
      <w:p w14:paraId="5951BEF1" w14:textId="00EC0A00" w:rsidR="004851B2" w:rsidRDefault="004851B2">
        <w:pPr>
          <w:pStyle w:val="AltBilgi"/>
          <w:jc w:val="right"/>
        </w:pPr>
        <w:r>
          <w:fldChar w:fldCharType="begin"/>
        </w:r>
        <w:r>
          <w:instrText>PAGE   \* MERGEFORMAT</w:instrText>
        </w:r>
        <w:r>
          <w:fldChar w:fldCharType="separate"/>
        </w:r>
        <w:r>
          <w:rPr>
            <w:lang w:val="tr-TR"/>
          </w:rPr>
          <w:t>2</w:t>
        </w:r>
        <w:r>
          <w:fldChar w:fldCharType="end"/>
        </w:r>
      </w:p>
    </w:sdtContent>
  </w:sdt>
  <w:p w14:paraId="640D6237" w14:textId="77777777" w:rsidR="004851B2" w:rsidRDefault="004851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7387" w14:textId="77777777" w:rsidR="00530C89" w:rsidRDefault="00530C89" w:rsidP="003B0055">
      <w:r>
        <w:separator/>
      </w:r>
    </w:p>
  </w:footnote>
  <w:footnote w:type="continuationSeparator" w:id="0">
    <w:p w14:paraId="3FD1FD6D" w14:textId="77777777" w:rsidR="00530C89" w:rsidRDefault="00530C89" w:rsidP="003B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4FA4"/>
    <w:multiLevelType w:val="hybridMultilevel"/>
    <w:tmpl w:val="1C88E5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1C069C"/>
    <w:multiLevelType w:val="hybridMultilevel"/>
    <w:tmpl w:val="8A50B34E"/>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C76C2"/>
    <w:multiLevelType w:val="hybridMultilevel"/>
    <w:tmpl w:val="36E43D12"/>
    <w:lvl w:ilvl="0" w:tplc="EE68C9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A1B8B"/>
    <w:multiLevelType w:val="hybridMultilevel"/>
    <w:tmpl w:val="95FC75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A4A89"/>
    <w:multiLevelType w:val="hybridMultilevel"/>
    <w:tmpl w:val="4B208BE4"/>
    <w:lvl w:ilvl="0" w:tplc="B074DC0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5D4467"/>
    <w:multiLevelType w:val="hybridMultilevel"/>
    <w:tmpl w:val="39C6B470"/>
    <w:lvl w:ilvl="0" w:tplc="BCC41B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95C91"/>
    <w:multiLevelType w:val="hybridMultilevel"/>
    <w:tmpl w:val="897CF7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841EC"/>
    <w:multiLevelType w:val="hybridMultilevel"/>
    <w:tmpl w:val="C696181E"/>
    <w:lvl w:ilvl="0" w:tplc="EEFE330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562D70"/>
    <w:multiLevelType w:val="multilevel"/>
    <w:tmpl w:val="B5E472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76DFC"/>
    <w:multiLevelType w:val="hybridMultilevel"/>
    <w:tmpl w:val="3CECB92C"/>
    <w:lvl w:ilvl="0" w:tplc="B066B7E4">
      <w:start w:val="3"/>
      <w:numFmt w:val="bullet"/>
      <w:lvlText w:val="-"/>
      <w:lvlJc w:val="left"/>
      <w:pPr>
        <w:ind w:left="720" w:hanging="360"/>
      </w:pPr>
      <w:rPr>
        <w:rFonts w:ascii="Times New Roman" w:eastAsia="Time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4E120B"/>
    <w:multiLevelType w:val="hybridMultilevel"/>
    <w:tmpl w:val="839A3492"/>
    <w:lvl w:ilvl="0" w:tplc="57105E50">
      <w:start w:val="24"/>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B014FE"/>
    <w:multiLevelType w:val="hybridMultilevel"/>
    <w:tmpl w:val="13ECA5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05D40"/>
    <w:multiLevelType w:val="multilevel"/>
    <w:tmpl w:val="8D32412C"/>
    <w:lvl w:ilvl="0">
      <w:start w:val="5"/>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512" w:hanging="720"/>
      </w:pPr>
      <w:rPr>
        <w:b/>
        <w:bCs/>
      </w:rPr>
    </w:lvl>
    <w:lvl w:ilvl="2">
      <w:start w:val="1"/>
      <w:numFmt w:val="decimal"/>
      <w:lvlText w:val="%1.%2.%3"/>
      <w:lvlJc w:val="left"/>
      <w:pPr>
        <w:ind w:left="2304" w:hanging="720"/>
      </w:pPr>
      <w:rPr>
        <w:b/>
        <w:bCs/>
      </w:rPr>
    </w:lvl>
    <w:lvl w:ilvl="3">
      <w:start w:val="1"/>
      <w:numFmt w:val="decimal"/>
      <w:lvlText w:val="%1.%2.%3.%4"/>
      <w:lvlJc w:val="left"/>
      <w:pPr>
        <w:ind w:left="3456" w:hanging="1080"/>
      </w:pPr>
      <w:rPr>
        <w:b/>
        <w:bCs/>
      </w:rPr>
    </w:lvl>
    <w:lvl w:ilvl="4">
      <w:start w:val="1"/>
      <w:numFmt w:val="decimal"/>
      <w:lvlText w:val="%1.%2.%3.%4.%5"/>
      <w:lvlJc w:val="left"/>
      <w:pPr>
        <w:ind w:left="4608" w:hanging="1440"/>
      </w:pPr>
    </w:lvl>
    <w:lvl w:ilvl="5">
      <w:start w:val="1"/>
      <w:numFmt w:val="decimal"/>
      <w:lvlText w:val="%1.%2.%3.%4.%5.%6"/>
      <w:lvlJc w:val="left"/>
      <w:pPr>
        <w:ind w:left="5400" w:hanging="1440"/>
      </w:pPr>
    </w:lvl>
    <w:lvl w:ilvl="6">
      <w:start w:val="1"/>
      <w:numFmt w:val="decimal"/>
      <w:lvlText w:val="%1.%2.%3.%4.%5.%6.%7"/>
      <w:lvlJc w:val="left"/>
      <w:pPr>
        <w:ind w:left="6552" w:hanging="1800"/>
      </w:pPr>
    </w:lvl>
    <w:lvl w:ilvl="7">
      <w:start w:val="1"/>
      <w:numFmt w:val="decimal"/>
      <w:lvlText w:val="%1.%2.%3.%4.%5.%6.%7.%8"/>
      <w:lvlJc w:val="left"/>
      <w:pPr>
        <w:ind w:left="7344" w:hanging="1800"/>
      </w:pPr>
    </w:lvl>
    <w:lvl w:ilvl="8">
      <w:start w:val="1"/>
      <w:numFmt w:val="decimal"/>
      <w:lvlText w:val="%1.%2.%3.%4.%5.%6.%7.%8.%9"/>
      <w:lvlJc w:val="left"/>
      <w:pPr>
        <w:ind w:left="8496" w:hanging="2160"/>
      </w:pPr>
    </w:lvl>
  </w:abstractNum>
  <w:abstractNum w:abstractNumId="13" w15:restartNumberingAfterBreak="0">
    <w:nsid w:val="44802846"/>
    <w:multiLevelType w:val="hybridMultilevel"/>
    <w:tmpl w:val="9E080D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40FC4"/>
    <w:multiLevelType w:val="hybridMultilevel"/>
    <w:tmpl w:val="1FA8D9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20071E"/>
    <w:multiLevelType w:val="multilevel"/>
    <w:tmpl w:val="5A446F4C"/>
    <w:lvl w:ilvl="0">
      <w:start w:val="6"/>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1512" w:hanging="720"/>
      </w:pPr>
      <w:rPr>
        <w:b/>
        <w:smallCaps w:val="0"/>
        <w:strike w:val="0"/>
        <w:shd w:val="clear" w:color="auto" w:fill="auto"/>
        <w:vertAlign w:val="baseline"/>
      </w:rPr>
    </w:lvl>
    <w:lvl w:ilvl="2">
      <w:start w:val="1"/>
      <w:numFmt w:val="decimal"/>
      <w:lvlText w:val="%1.%2.%3."/>
      <w:lvlJc w:val="left"/>
      <w:pPr>
        <w:ind w:left="1418" w:hanging="566"/>
      </w:pPr>
      <w:rPr>
        <w:b/>
        <w:smallCaps w:val="0"/>
        <w:strike w:val="0"/>
        <w:shd w:val="clear" w:color="auto" w:fill="auto"/>
        <w:vertAlign w:val="baseline"/>
      </w:rPr>
    </w:lvl>
    <w:lvl w:ilvl="3">
      <w:start w:val="1"/>
      <w:numFmt w:val="decimal"/>
      <w:lvlText w:val="%1.%2.%3.%4."/>
      <w:lvlJc w:val="left"/>
      <w:pPr>
        <w:ind w:left="2127" w:hanging="709"/>
      </w:pPr>
      <w:rPr>
        <w:b/>
        <w:smallCaps w:val="0"/>
        <w:strike w:val="0"/>
        <w:shd w:val="clear" w:color="auto" w:fill="auto"/>
        <w:vertAlign w:val="baseline"/>
      </w:rPr>
    </w:lvl>
    <w:lvl w:ilvl="4">
      <w:start w:val="1"/>
      <w:numFmt w:val="decimal"/>
      <w:lvlText w:val="%1.%2.%3.%4.%5."/>
      <w:lvlJc w:val="left"/>
      <w:pPr>
        <w:ind w:left="3279" w:hanging="1069"/>
      </w:pPr>
      <w:rPr>
        <w:b/>
        <w:smallCaps w:val="0"/>
        <w:strike w:val="0"/>
        <w:shd w:val="clear" w:color="auto" w:fill="auto"/>
        <w:vertAlign w:val="baseline"/>
      </w:rPr>
    </w:lvl>
    <w:lvl w:ilvl="5">
      <w:start w:val="1"/>
      <w:numFmt w:val="decimal"/>
      <w:lvlText w:val="%1.%2.%3.%4.%5.%6."/>
      <w:lvlJc w:val="left"/>
      <w:pPr>
        <w:ind w:left="4071" w:hanging="1068"/>
      </w:pPr>
      <w:rPr>
        <w:b/>
        <w:smallCaps w:val="0"/>
        <w:strike w:val="0"/>
        <w:shd w:val="clear" w:color="auto" w:fill="auto"/>
        <w:vertAlign w:val="baseline"/>
      </w:rPr>
    </w:lvl>
    <w:lvl w:ilvl="6">
      <w:start w:val="1"/>
      <w:numFmt w:val="decimal"/>
      <w:lvlText w:val="%1.%2.%3.%4.%5.%6.%7."/>
      <w:lvlJc w:val="left"/>
      <w:pPr>
        <w:ind w:left="5223" w:hanging="1429"/>
      </w:pPr>
      <w:rPr>
        <w:b/>
        <w:smallCaps w:val="0"/>
        <w:strike w:val="0"/>
        <w:shd w:val="clear" w:color="auto" w:fill="auto"/>
        <w:vertAlign w:val="baseline"/>
      </w:rPr>
    </w:lvl>
    <w:lvl w:ilvl="7">
      <w:start w:val="1"/>
      <w:numFmt w:val="decimal"/>
      <w:lvlText w:val="%1.%2.%3.%4.%5.%6.%7.%8."/>
      <w:lvlJc w:val="left"/>
      <w:pPr>
        <w:ind w:left="6015" w:hanging="1429"/>
      </w:pPr>
      <w:rPr>
        <w:b/>
        <w:smallCaps w:val="0"/>
        <w:strike w:val="0"/>
        <w:shd w:val="clear" w:color="auto" w:fill="auto"/>
        <w:vertAlign w:val="baseline"/>
      </w:rPr>
    </w:lvl>
    <w:lvl w:ilvl="8">
      <w:start w:val="1"/>
      <w:numFmt w:val="decimal"/>
      <w:lvlText w:val="%1.%2.%3.%4.%5.%6.%7.%8.%9."/>
      <w:lvlJc w:val="left"/>
      <w:pPr>
        <w:ind w:left="7167" w:hanging="1788"/>
      </w:pPr>
      <w:rPr>
        <w:b/>
        <w:smallCaps w:val="0"/>
        <w:strike w:val="0"/>
        <w:shd w:val="clear" w:color="auto" w:fill="auto"/>
        <w:vertAlign w:val="baseline"/>
      </w:rPr>
    </w:lvl>
  </w:abstractNum>
  <w:abstractNum w:abstractNumId="16" w15:restartNumberingAfterBreak="0">
    <w:nsid w:val="4C8122FD"/>
    <w:multiLevelType w:val="hybridMultilevel"/>
    <w:tmpl w:val="130AC29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F621B2D"/>
    <w:multiLevelType w:val="singleLevel"/>
    <w:tmpl w:val="0526CEB6"/>
    <w:lvl w:ilvl="0">
      <w:start w:val="1"/>
      <w:numFmt w:val="lowerLetter"/>
      <w:lvlText w:val="(%1)"/>
      <w:legacy w:legacy="1" w:legacySpace="0" w:legacyIndent="360"/>
      <w:lvlJc w:val="left"/>
      <w:rPr>
        <w:rFonts w:asciiTheme="minorHAnsi" w:hAnsiTheme="minorHAnsi" w:cstheme="minorHAnsi" w:hint="default"/>
        <w:b/>
        <w:bCs/>
        <w:i/>
        <w:iCs/>
      </w:rPr>
    </w:lvl>
  </w:abstractNum>
  <w:abstractNum w:abstractNumId="18" w15:restartNumberingAfterBreak="0">
    <w:nsid w:val="65B347BD"/>
    <w:multiLevelType w:val="hybridMultilevel"/>
    <w:tmpl w:val="D66A4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FC5913"/>
    <w:multiLevelType w:val="hybridMultilevel"/>
    <w:tmpl w:val="12DAA7E6"/>
    <w:lvl w:ilvl="0" w:tplc="6F1C21B2">
      <w:start w:val="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5480FF0"/>
    <w:multiLevelType w:val="hybridMultilevel"/>
    <w:tmpl w:val="3364E7BC"/>
    <w:lvl w:ilvl="0" w:tplc="4F98CC5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0751598">
    <w:abstractNumId w:val="3"/>
  </w:num>
  <w:num w:numId="2" w16cid:durableId="15087811">
    <w:abstractNumId w:val="2"/>
  </w:num>
  <w:num w:numId="3" w16cid:durableId="532349137">
    <w:abstractNumId w:val="13"/>
  </w:num>
  <w:num w:numId="4" w16cid:durableId="480927431">
    <w:abstractNumId w:val="5"/>
  </w:num>
  <w:num w:numId="5" w16cid:durableId="1332220980">
    <w:abstractNumId w:val="20"/>
  </w:num>
  <w:num w:numId="6" w16cid:durableId="147981650">
    <w:abstractNumId w:val="17"/>
  </w:num>
  <w:num w:numId="7" w16cid:durableId="1413038930">
    <w:abstractNumId w:val="10"/>
  </w:num>
  <w:num w:numId="8" w16cid:durableId="1330910881">
    <w:abstractNumId w:val="7"/>
  </w:num>
  <w:num w:numId="9" w16cid:durableId="1506438807">
    <w:abstractNumId w:val="19"/>
  </w:num>
  <w:num w:numId="10" w16cid:durableId="1475953009">
    <w:abstractNumId w:val="15"/>
  </w:num>
  <w:num w:numId="11" w16cid:durableId="813520541">
    <w:abstractNumId w:val="11"/>
  </w:num>
  <w:num w:numId="12" w16cid:durableId="1061751655">
    <w:abstractNumId w:val="1"/>
  </w:num>
  <w:num w:numId="13" w16cid:durableId="453253580">
    <w:abstractNumId w:val="14"/>
  </w:num>
  <w:num w:numId="14" w16cid:durableId="556822571">
    <w:abstractNumId w:val="6"/>
  </w:num>
  <w:num w:numId="15" w16cid:durableId="921066729">
    <w:abstractNumId w:val="8"/>
  </w:num>
  <w:num w:numId="16" w16cid:durableId="185403306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3141943">
    <w:abstractNumId w:val="0"/>
  </w:num>
  <w:num w:numId="18" w16cid:durableId="1304433358">
    <w:abstractNumId w:val="4"/>
  </w:num>
  <w:num w:numId="19" w16cid:durableId="1913346812">
    <w:abstractNumId w:val="16"/>
  </w:num>
  <w:num w:numId="20" w16cid:durableId="648945004">
    <w:abstractNumId w:val="18"/>
  </w:num>
  <w:num w:numId="21" w16cid:durableId="1805997521">
    <w:abstractNumId w:val="12"/>
  </w:num>
  <w:num w:numId="22" w16cid:durableId="1080325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6F"/>
    <w:rsid w:val="000112FD"/>
    <w:rsid w:val="00012C49"/>
    <w:rsid w:val="0001550F"/>
    <w:rsid w:val="00015F54"/>
    <w:rsid w:val="00020DD2"/>
    <w:rsid w:val="00036D38"/>
    <w:rsid w:val="00050A69"/>
    <w:rsid w:val="000533A3"/>
    <w:rsid w:val="000641BC"/>
    <w:rsid w:val="00072492"/>
    <w:rsid w:val="00080D74"/>
    <w:rsid w:val="00081E68"/>
    <w:rsid w:val="00086492"/>
    <w:rsid w:val="00091BB7"/>
    <w:rsid w:val="00092D82"/>
    <w:rsid w:val="00094D0A"/>
    <w:rsid w:val="000969DB"/>
    <w:rsid w:val="000A71B9"/>
    <w:rsid w:val="000B2EA2"/>
    <w:rsid w:val="000B4DF4"/>
    <w:rsid w:val="000B4FD2"/>
    <w:rsid w:val="000C1C96"/>
    <w:rsid w:val="000C77FB"/>
    <w:rsid w:val="000C7E52"/>
    <w:rsid w:val="000F741C"/>
    <w:rsid w:val="001069AA"/>
    <w:rsid w:val="00106D93"/>
    <w:rsid w:val="00113D04"/>
    <w:rsid w:val="00114E41"/>
    <w:rsid w:val="001337B4"/>
    <w:rsid w:val="001422B7"/>
    <w:rsid w:val="001424E7"/>
    <w:rsid w:val="00166C3C"/>
    <w:rsid w:val="0017194D"/>
    <w:rsid w:val="00172A1B"/>
    <w:rsid w:val="00176DBB"/>
    <w:rsid w:val="00176EF0"/>
    <w:rsid w:val="0018081B"/>
    <w:rsid w:val="00181061"/>
    <w:rsid w:val="001863B6"/>
    <w:rsid w:val="00190ECE"/>
    <w:rsid w:val="00192421"/>
    <w:rsid w:val="001952AB"/>
    <w:rsid w:val="00195390"/>
    <w:rsid w:val="0019763A"/>
    <w:rsid w:val="001B05A0"/>
    <w:rsid w:val="001B0884"/>
    <w:rsid w:val="001B12B4"/>
    <w:rsid w:val="001B500F"/>
    <w:rsid w:val="001B525C"/>
    <w:rsid w:val="001B6D11"/>
    <w:rsid w:val="001C1828"/>
    <w:rsid w:val="001C4DBC"/>
    <w:rsid w:val="001C683C"/>
    <w:rsid w:val="001C7AD3"/>
    <w:rsid w:val="001D2741"/>
    <w:rsid w:val="001D6E79"/>
    <w:rsid w:val="001D7FD8"/>
    <w:rsid w:val="001E4D35"/>
    <w:rsid w:val="001F1DAE"/>
    <w:rsid w:val="001F7FCD"/>
    <w:rsid w:val="002023AA"/>
    <w:rsid w:val="00202D75"/>
    <w:rsid w:val="00204D2C"/>
    <w:rsid w:val="00205DE6"/>
    <w:rsid w:val="00211ABC"/>
    <w:rsid w:val="00211C5A"/>
    <w:rsid w:val="00213316"/>
    <w:rsid w:val="00213B4B"/>
    <w:rsid w:val="002173CD"/>
    <w:rsid w:val="002177A8"/>
    <w:rsid w:val="00217DD0"/>
    <w:rsid w:val="002239D7"/>
    <w:rsid w:val="0022711D"/>
    <w:rsid w:val="0025356D"/>
    <w:rsid w:val="00257A04"/>
    <w:rsid w:val="00261CA6"/>
    <w:rsid w:val="00261CF0"/>
    <w:rsid w:val="00270932"/>
    <w:rsid w:val="00272033"/>
    <w:rsid w:val="0027366F"/>
    <w:rsid w:val="00274657"/>
    <w:rsid w:val="00274A6D"/>
    <w:rsid w:val="0027691F"/>
    <w:rsid w:val="00285C2A"/>
    <w:rsid w:val="002906F1"/>
    <w:rsid w:val="00292BA7"/>
    <w:rsid w:val="00292F17"/>
    <w:rsid w:val="00293FC8"/>
    <w:rsid w:val="0029584B"/>
    <w:rsid w:val="00295AD0"/>
    <w:rsid w:val="002A1BC6"/>
    <w:rsid w:val="002A44D6"/>
    <w:rsid w:val="002B72A6"/>
    <w:rsid w:val="002C0D33"/>
    <w:rsid w:val="002C15D4"/>
    <w:rsid w:val="002C37A0"/>
    <w:rsid w:val="002C7648"/>
    <w:rsid w:val="002D307F"/>
    <w:rsid w:val="002D4F4B"/>
    <w:rsid w:val="002F0276"/>
    <w:rsid w:val="002F0951"/>
    <w:rsid w:val="002F1DC1"/>
    <w:rsid w:val="003102A3"/>
    <w:rsid w:val="0031255B"/>
    <w:rsid w:val="00312EF0"/>
    <w:rsid w:val="0033049E"/>
    <w:rsid w:val="00336769"/>
    <w:rsid w:val="00350705"/>
    <w:rsid w:val="00351859"/>
    <w:rsid w:val="003524BC"/>
    <w:rsid w:val="00353C8F"/>
    <w:rsid w:val="003563CF"/>
    <w:rsid w:val="00364B68"/>
    <w:rsid w:val="00372F18"/>
    <w:rsid w:val="00375651"/>
    <w:rsid w:val="00377029"/>
    <w:rsid w:val="00381801"/>
    <w:rsid w:val="00386035"/>
    <w:rsid w:val="003B0055"/>
    <w:rsid w:val="003B1426"/>
    <w:rsid w:val="003C1AC6"/>
    <w:rsid w:val="003D1B82"/>
    <w:rsid w:val="003D7E0F"/>
    <w:rsid w:val="003E1D34"/>
    <w:rsid w:val="003E2233"/>
    <w:rsid w:val="003E3911"/>
    <w:rsid w:val="003F165D"/>
    <w:rsid w:val="003F5430"/>
    <w:rsid w:val="003F5E09"/>
    <w:rsid w:val="0042194B"/>
    <w:rsid w:val="004241F5"/>
    <w:rsid w:val="004419C6"/>
    <w:rsid w:val="00445990"/>
    <w:rsid w:val="00445CBB"/>
    <w:rsid w:val="00455359"/>
    <w:rsid w:val="00455640"/>
    <w:rsid w:val="00461BEB"/>
    <w:rsid w:val="00465C42"/>
    <w:rsid w:val="00465FEB"/>
    <w:rsid w:val="004665BA"/>
    <w:rsid w:val="004730BA"/>
    <w:rsid w:val="0047626E"/>
    <w:rsid w:val="00480CE6"/>
    <w:rsid w:val="00482303"/>
    <w:rsid w:val="004825A7"/>
    <w:rsid w:val="004851B2"/>
    <w:rsid w:val="00491DA9"/>
    <w:rsid w:val="00493900"/>
    <w:rsid w:val="004A7CDA"/>
    <w:rsid w:val="004B182B"/>
    <w:rsid w:val="004B4731"/>
    <w:rsid w:val="004E2782"/>
    <w:rsid w:val="004E30D3"/>
    <w:rsid w:val="004F2DF2"/>
    <w:rsid w:val="004F41C8"/>
    <w:rsid w:val="004F6C0B"/>
    <w:rsid w:val="00500B38"/>
    <w:rsid w:val="00501BB7"/>
    <w:rsid w:val="00511F22"/>
    <w:rsid w:val="00513E50"/>
    <w:rsid w:val="00525321"/>
    <w:rsid w:val="00530C89"/>
    <w:rsid w:val="0053285D"/>
    <w:rsid w:val="00533D1B"/>
    <w:rsid w:val="00536849"/>
    <w:rsid w:val="00537621"/>
    <w:rsid w:val="005641A6"/>
    <w:rsid w:val="00576381"/>
    <w:rsid w:val="005836FE"/>
    <w:rsid w:val="005864BD"/>
    <w:rsid w:val="00587AE6"/>
    <w:rsid w:val="005900A5"/>
    <w:rsid w:val="00596274"/>
    <w:rsid w:val="005A62EA"/>
    <w:rsid w:val="005A78E1"/>
    <w:rsid w:val="005B3397"/>
    <w:rsid w:val="005B49F7"/>
    <w:rsid w:val="005B79C9"/>
    <w:rsid w:val="005F1A40"/>
    <w:rsid w:val="005F1EB0"/>
    <w:rsid w:val="005F6321"/>
    <w:rsid w:val="00602AE7"/>
    <w:rsid w:val="00610481"/>
    <w:rsid w:val="00616FC3"/>
    <w:rsid w:val="00617720"/>
    <w:rsid w:val="00620BDD"/>
    <w:rsid w:val="00627CE6"/>
    <w:rsid w:val="00632946"/>
    <w:rsid w:val="00633F59"/>
    <w:rsid w:val="006451D9"/>
    <w:rsid w:val="00651494"/>
    <w:rsid w:val="0065400A"/>
    <w:rsid w:val="006560D7"/>
    <w:rsid w:val="006604D5"/>
    <w:rsid w:val="00665691"/>
    <w:rsid w:val="00666EC2"/>
    <w:rsid w:val="00680D52"/>
    <w:rsid w:val="0069313E"/>
    <w:rsid w:val="0069323B"/>
    <w:rsid w:val="006A0C1A"/>
    <w:rsid w:val="006A30FD"/>
    <w:rsid w:val="006A3A22"/>
    <w:rsid w:val="006A5409"/>
    <w:rsid w:val="006B2A29"/>
    <w:rsid w:val="006B344B"/>
    <w:rsid w:val="006B6881"/>
    <w:rsid w:val="006B731C"/>
    <w:rsid w:val="006C29DB"/>
    <w:rsid w:val="006C5976"/>
    <w:rsid w:val="006C63B5"/>
    <w:rsid w:val="006C6C98"/>
    <w:rsid w:val="006D016A"/>
    <w:rsid w:val="006E22C3"/>
    <w:rsid w:val="006E6041"/>
    <w:rsid w:val="006E7A2F"/>
    <w:rsid w:val="00705DEB"/>
    <w:rsid w:val="00714513"/>
    <w:rsid w:val="007147E4"/>
    <w:rsid w:val="007168B4"/>
    <w:rsid w:val="00720638"/>
    <w:rsid w:val="00721492"/>
    <w:rsid w:val="00722C95"/>
    <w:rsid w:val="00723FB9"/>
    <w:rsid w:val="007241F4"/>
    <w:rsid w:val="0072644D"/>
    <w:rsid w:val="007359C0"/>
    <w:rsid w:val="00736190"/>
    <w:rsid w:val="00737337"/>
    <w:rsid w:val="007400FA"/>
    <w:rsid w:val="00740F6A"/>
    <w:rsid w:val="007463C0"/>
    <w:rsid w:val="00747964"/>
    <w:rsid w:val="00750072"/>
    <w:rsid w:val="00753B33"/>
    <w:rsid w:val="0075647B"/>
    <w:rsid w:val="0076777C"/>
    <w:rsid w:val="00767AAC"/>
    <w:rsid w:val="00771778"/>
    <w:rsid w:val="00782968"/>
    <w:rsid w:val="00791BEA"/>
    <w:rsid w:val="00793021"/>
    <w:rsid w:val="0079670E"/>
    <w:rsid w:val="007A2C63"/>
    <w:rsid w:val="007A35CE"/>
    <w:rsid w:val="007B4159"/>
    <w:rsid w:val="007C027E"/>
    <w:rsid w:val="007C2CD8"/>
    <w:rsid w:val="007C4D33"/>
    <w:rsid w:val="007C70D5"/>
    <w:rsid w:val="007D33CF"/>
    <w:rsid w:val="007D656A"/>
    <w:rsid w:val="007E0B04"/>
    <w:rsid w:val="007E16DA"/>
    <w:rsid w:val="007E2CFC"/>
    <w:rsid w:val="007F5593"/>
    <w:rsid w:val="00805F0D"/>
    <w:rsid w:val="00806572"/>
    <w:rsid w:val="00807322"/>
    <w:rsid w:val="008176BA"/>
    <w:rsid w:val="0082047D"/>
    <w:rsid w:val="00822C41"/>
    <w:rsid w:val="008348A5"/>
    <w:rsid w:val="008436EA"/>
    <w:rsid w:val="00844D30"/>
    <w:rsid w:val="0084723E"/>
    <w:rsid w:val="00856980"/>
    <w:rsid w:val="00871852"/>
    <w:rsid w:val="00894E8A"/>
    <w:rsid w:val="00897BAE"/>
    <w:rsid w:val="008A1081"/>
    <w:rsid w:val="008B437D"/>
    <w:rsid w:val="008B43D0"/>
    <w:rsid w:val="008C071E"/>
    <w:rsid w:val="008C3E24"/>
    <w:rsid w:val="008C7E34"/>
    <w:rsid w:val="008D18D6"/>
    <w:rsid w:val="008D2499"/>
    <w:rsid w:val="008D333C"/>
    <w:rsid w:val="008D3DCF"/>
    <w:rsid w:val="008D3FD1"/>
    <w:rsid w:val="008D4C87"/>
    <w:rsid w:val="008D7C67"/>
    <w:rsid w:val="008E7AAE"/>
    <w:rsid w:val="008F463C"/>
    <w:rsid w:val="008F7B98"/>
    <w:rsid w:val="00902BEA"/>
    <w:rsid w:val="00903818"/>
    <w:rsid w:val="009076BB"/>
    <w:rsid w:val="00907C15"/>
    <w:rsid w:val="00911E34"/>
    <w:rsid w:val="009128ED"/>
    <w:rsid w:val="0091702B"/>
    <w:rsid w:val="00927DD5"/>
    <w:rsid w:val="00930144"/>
    <w:rsid w:val="00930D8B"/>
    <w:rsid w:val="0093104A"/>
    <w:rsid w:val="009317A4"/>
    <w:rsid w:val="009322B6"/>
    <w:rsid w:val="009362A5"/>
    <w:rsid w:val="00936E8C"/>
    <w:rsid w:val="0094126C"/>
    <w:rsid w:val="00943EB8"/>
    <w:rsid w:val="00945EBD"/>
    <w:rsid w:val="00961B6F"/>
    <w:rsid w:val="009658F6"/>
    <w:rsid w:val="009666C5"/>
    <w:rsid w:val="00972355"/>
    <w:rsid w:val="00974758"/>
    <w:rsid w:val="00974C6A"/>
    <w:rsid w:val="009838B6"/>
    <w:rsid w:val="00991AD0"/>
    <w:rsid w:val="009A02E1"/>
    <w:rsid w:val="009A39DD"/>
    <w:rsid w:val="009A64A7"/>
    <w:rsid w:val="009B207B"/>
    <w:rsid w:val="009B253D"/>
    <w:rsid w:val="009D3A2B"/>
    <w:rsid w:val="009D476B"/>
    <w:rsid w:val="009E74EF"/>
    <w:rsid w:val="009F2A91"/>
    <w:rsid w:val="00A00917"/>
    <w:rsid w:val="00A1127B"/>
    <w:rsid w:val="00A35082"/>
    <w:rsid w:val="00A35AC7"/>
    <w:rsid w:val="00A35F5F"/>
    <w:rsid w:val="00A407C7"/>
    <w:rsid w:val="00A42E46"/>
    <w:rsid w:val="00A472E6"/>
    <w:rsid w:val="00A5049D"/>
    <w:rsid w:val="00A54C9A"/>
    <w:rsid w:val="00A613F7"/>
    <w:rsid w:val="00A705C3"/>
    <w:rsid w:val="00A72028"/>
    <w:rsid w:val="00A75391"/>
    <w:rsid w:val="00A842D1"/>
    <w:rsid w:val="00A87618"/>
    <w:rsid w:val="00A90430"/>
    <w:rsid w:val="00A9636B"/>
    <w:rsid w:val="00A97AA1"/>
    <w:rsid w:val="00AA795B"/>
    <w:rsid w:val="00AB1BD5"/>
    <w:rsid w:val="00AB57D1"/>
    <w:rsid w:val="00AC24BD"/>
    <w:rsid w:val="00AC4E2D"/>
    <w:rsid w:val="00AD1ED2"/>
    <w:rsid w:val="00AE3174"/>
    <w:rsid w:val="00AE37FC"/>
    <w:rsid w:val="00AF0A49"/>
    <w:rsid w:val="00AF6511"/>
    <w:rsid w:val="00B12200"/>
    <w:rsid w:val="00B225CE"/>
    <w:rsid w:val="00B2636F"/>
    <w:rsid w:val="00B279EB"/>
    <w:rsid w:val="00B347F7"/>
    <w:rsid w:val="00B34AF6"/>
    <w:rsid w:val="00B36FDD"/>
    <w:rsid w:val="00B37087"/>
    <w:rsid w:val="00B41B8A"/>
    <w:rsid w:val="00B56E2E"/>
    <w:rsid w:val="00B65334"/>
    <w:rsid w:val="00B658AB"/>
    <w:rsid w:val="00B66FAA"/>
    <w:rsid w:val="00B76442"/>
    <w:rsid w:val="00B85BE5"/>
    <w:rsid w:val="00B900DB"/>
    <w:rsid w:val="00B91E75"/>
    <w:rsid w:val="00B92EA6"/>
    <w:rsid w:val="00B954D1"/>
    <w:rsid w:val="00B95B4F"/>
    <w:rsid w:val="00B96FE0"/>
    <w:rsid w:val="00BB3D06"/>
    <w:rsid w:val="00BC6879"/>
    <w:rsid w:val="00BD2BB2"/>
    <w:rsid w:val="00BD72EA"/>
    <w:rsid w:val="00BE063B"/>
    <w:rsid w:val="00BE314B"/>
    <w:rsid w:val="00BF273C"/>
    <w:rsid w:val="00BF6405"/>
    <w:rsid w:val="00C10DA3"/>
    <w:rsid w:val="00C16CD1"/>
    <w:rsid w:val="00C254BB"/>
    <w:rsid w:val="00C41F28"/>
    <w:rsid w:val="00C604CE"/>
    <w:rsid w:val="00C72CD0"/>
    <w:rsid w:val="00C73FBB"/>
    <w:rsid w:val="00C80E86"/>
    <w:rsid w:val="00C82A0A"/>
    <w:rsid w:val="00C8772B"/>
    <w:rsid w:val="00C90832"/>
    <w:rsid w:val="00C9184A"/>
    <w:rsid w:val="00C925B4"/>
    <w:rsid w:val="00C93451"/>
    <w:rsid w:val="00C93F7E"/>
    <w:rsid w:val="00CA160A"/>
    <w:rsid w:val="00CB1C6F"/>
    <w:rsid w:val="00CB211B"/>
    <w:rsid w:val="00CB5CE5"/>
    <w:rsid w:val="00CB5E9A"/>
    <w:rsid w:val="00CB702B"/>
    <w:rsid w:val="00CC01B7"/>
    <w:rsid w:val="00CC082F"/>
    <w:rsid w:val="00CE01B4"/>
    <w:rsid w:val="00CF5A43"/>
    <w:rsid w:val="00D0060F"/>
    <w:rsid w:val="00D10524"/>
    <w:rsid w:val="00D150ED"/>
    <w:rsid w:val="00D151DB"/>
    <w:rsid w:val="00D21E5B"/>
    <w:rsid w:val="00D23F9F"/>
    <w:rsid w:val="00D27048"/>
    <w:rsid w:val="00D331F0"/>
    <w:rsid w:val="00D35903"/>
    <w:rsid w:val="00D365DB"/>
    <w:rsid w:val="00D37377"/>
    <w:rsid w:val="00D603F9"/>
    <w:rsid w:val="00D6495A"/>
    <w:rsid w:val="00D7177B"/>
    <w:rsid w:val="00D72E04"/>
    <w:rsid w:val="00D73EDA"/>
    <w:rsid w:val="00D82F66"/>
    <w:rsid w:val="00D872C7"/>
    <w:rsid w:val="00D93E66"/>
    <w:rsid w:val="00D962F9"/>
    <w:rsid w:val="00DA3062"/>
    <w:rsid w:val="00DA3E38"/>
    <w:rsid w:val="00DA4828"/>
    <w:rsid w:val="00DA5E26"/>
    <w:rsid w:val="00DB1DEB"/>
    <w:rsid w:val="00DB7EE1"/>
    <w:rsid w:val="00DC4F3C"/>
    <w:rsid w:val="00DD0EEE"/>
    <w:rsid w:val="00DD77F5"/>
    <w:rsid w:val="00DE2B49"/>
    <w:rsid w:val="00DE6BBF"/>
    <w:rsid w:val="00DF1328"/>
    <w:rsid w:val="00DF345A"/>
    <w:rsid w:val="00E000FB"/>
    <w:rsid w:val="00E01F13"/>
    <w:rsid w:val="00E03DB4"/>
    <w:rsid w:val="00E03DDA"/>
    <w:rsid w:val="00E12E3A"/>
    <w:rsid w:val="00E25E08"/>
    <w:rsid w:val="00E32DBA"/>
    <w:rsid w:val="00E45EDD"/>
    <w:rsid w:val="00E46F88"/>
    <w:rsid w:val="00E46FD9"/>
    <w:rsid w:val="00E5026F"/>
    <w:rsid w:val="00E50501"/>
    <w:rsid w:val="00E56AF3"/>
    <w:rsid w:val="00E64C1B"/>
    <w:rsid w:val="00E7017D"/>
    <w:rsid w:val="00E70E72"/>
    <w:rsid w:val="00E71E6E"/>
    <w:rsid w:val="00E7506E"/>
    <w:rsid w:val="00E84A2A"/>
    <w:rsid w:val="00E9008D"/>
    <w:rsid w:val="00EA3500"/>
    <w:rsid w:val="00EB53FC"/>
    <w:rsid w:val="00EB604A"/>
    <w:rsid w:val="00EB6ADC"/>
    <w:rsid w:val="00EC040E"/>
    <w:rsid w:val="00EC6772"/>
    <w:rsid w:val="00ED0196"/>
    <w:rsid w:val="00ED0B68"/>
    <w:rsid w:val="00EE1723"/>
    <w:rsid w:val="00EE2259"/>
    <w:rsid w:val="00EF5EC6"/>
    <w:rsid w:val="00F01BE5"/>
    <w:rsid w:val="00F03AE0"/>
    <w:rsid w:val="00F07F69"/>
    <w:rsid w:val="00F20E7B"/>
    <w:rsid w:val="00F25888"/>
    <w:rsid w:val="00F26BCE"/>
    <w:rsid w:val="00F26F6E"/>
    <w:rsid w:val="00F3598F"/>
    <w:rsid w:val="00F40021"/>
    <w:rsid w:val="00F4506B"/>
    <w:rsid w:val="00F53A53"/>
    <w:rsid w:val="00F55E9C"/>
    <w:rsid w:val="00F631C9"/>
    <w:rsid w:val="00F77652"/>
    <w:rsid w:val="00F825D3"/>
    <w:rsid w:val="00F85980"/>
    <w:rsid w:val="00F93BF1"/>
    <w:rsid w:val="00FA162C"/>
    <w:rsid w:val="00FA1C16"/>
    <w:rsid w:val="00FA73DC"/>
    <w:rsid w:val="00FA7D29"/>
    <w:rsid w:val="00FB2871"/>
    <w:rsid w:val="00FB2A51"/>
    <w:rsid w:val="00FB5AC9"/>
    <w:rsid w:val="00FC572E"/>
    <w:rsid w:val="00FC6131"/>
    <w:rsid w:val="00FD0AD6"/>
    <w:rsid w:val="00FE2E6C"/>
    <w:rsid w:val="00FE6467"/>
    <w:rsid w:val="00FE675B"/>
    <w:rsid w:val="00FE7C8D"/>
    <w:rsid w:val="00FF06F0"/>
    <w:rsid w:val="00FF1E31"/>
    <w:rsid w:val="00FF3949"/>
    <w:rsid w:val="00FF400C"/>
    <w:rsid w:val="00FF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A281"/>
  <w15:chartTrackingRefBased/>
  <w15:docId w15:val="{A5EB5661-76D9-4864-988A-8603A9CE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36F"/>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B2636F"/>
    <w:pPr>
      <w:jc w:val="center"/>
    </w:pPr>
    <w:rPr>
      <w:rFonts w:ascii="Courier New" w:hAnsi="Courier New"/>
      <w:b/>
      <w:sz w:val="22"/>
      <w:szCs w:val="20"/>
      <w:lang w:val="tr-TR"/>
    </w:rPr>
  </w:style>
  <w:style w:type="character" w:customStyle="1" w:styleId="GvdeMetniChar">
    <w:name w:val="Gövde Metni Char"/>
    <w:basedOn w:val="VarsaylanParagrafYazTipi"/>
    <w:link w:val="GvdeMetni"/>
    <w:semiHidden/>
    <w:rsid w:val="00B2636F"/>
    <w:rPr>
      <w:rFonts w:ascii="Courier New" w:eastAsia="Times New Roman" w:hAnsi="Courier New" w:cs="Times New Roman"/>
      <w:b/>
      <w:szCs w:val="20"/>
      <w:lang w:val="tr-TR"/>
    </w:rPr>
  </w:style>
  <w:style w:type="character" w:styleId="AklamaBavurusu">
    <w:name w:val="annotation reference"/>
    <w:basedOn w:val="VarsaylanParagrafYazTipi"/>
    <w:semiHidden/>
    <w:unhideWhenUsed/>
    <w:rsid w:val="00666EC2"/>
    <w:rPr>
      <w:sz w:val="16"/>
      <w:szCs w:val="16"/>
    </w:rPr>
  </w:style>
  <w:style w:type="paragraph" w:styleId="AklamaMetni">
    <w:name w:val="annotation text"/>
    <w:basedOn w:val="Normal"/>
    <w:link w:val="AklamaMetniChar"/>
    <w:uiPriority w:val="99"/>
    <w:unhideWhenUsed/>
    <w:rsid w:val="00666EC2"/>
    <w:rPr>
      <w:sz w:val="20"/>
      <w:szCs w:val="20"/>
    </w:rPr>
  </w:style>
  <w:style w:type="character" w:customStyle="1" w:styleId="AklamaMetniChar">
    <w:name w:val="Açıklama Metni Char"/>
    <w:basedOn w:val="VarsaylanParagrafYazTipi"/>
    <w:link w:val="AklamaMetni"/>
    <w:uiPriority w:val="99"/>
    <w:rsid w:val="00666EC2"/>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666EC2"/>
    <w:rPr>
      <w:b/>
      <w:bCs/>
    </w:rPr>
  </w:style>
  <w:style w:type="character" w:customStyle="1" w:styleId="AklamaKonusuChar">
    <w:name w:val="Açıklama Konusu Char"/>
    <w:basedOn w:val="AklamaMetniChar"/>
    <w:link w:val="AklamaKonusu"/>
    <w:uiPriority w:val="99"/>
    <w:semiHidden/>
    <w:rsid w:val="00666EC2"/>
    <w:rPr>
      <w:rFonts w:ascii="Times New Roman" w:eastAsia="Times New Roman" w:hAnsi="Times New Roman" w:cs="Times New Roman"/>
      <w:b/>
      <w:bCs/>
      <w:sz w:val="20"/>
      <w:szCs w:val="20"/>
      <w:lang w:val="en-US"/>
    </w:rPr>
  </w:style>
  <w:style w:type="paragraph" w:styleId="ListeParagraf">
    <w:name w:val="List Paragraph"/>
    <w:aliases w:val="#Listenabsatz,UEDAŞ Bullet,abc siralı,Lijstalinea"/>
    <w:basedOn w:val="Normal"/>
    <w:link w:val="ListeParagrafChar"/>
    <w:uiPriority w:val="34"/>
    <w:qFormat/>
    <w:rsid w:val="005B49F7"/>
    <w:pPr>
      <w:ind w:left="720"/>
      <w:contextualSpacing/>
    </w:pPr>
  </w:style>
  <w:style w:type="character" w:customStyle="1" w:styleId="Gvdemetni0">
    <w:name w:val="Gövde metni_"/>
    <w:basedOn w:val="VarsaylanParagrafYazTipi"/>
    <w:link w:val="Gvdemetni1"/>
    <w:rsid w:val="006C6C98"/>
    <w:rPr>
      <w:rFonts w:ascii="Times New Roman" w:eastAsia="Times New Roman" w:hAnsi="Times New Roman" w:cs="Times New Roman"/>
      <w:sz w:val="18"/>
      <w:szCs w:val="18"/>
    </w:rPr>
  </w:style>
  <w:style w:type="paragraph" w:customStyle="1" w:styleId="Gvdemetni1">
    <w:name w:val="Gövde metni"/>
    <w:basedOn w:val="Normal"/>
    <w:link w:val="Gvdemetni0"/>
    <w:rsid w:val="006C6C98"/>
    <w:pPr>
      <w:widowControl w:val="0"/>
      <w:ind w:firstLine="180"/>
    </w:pPr>
    <w:rPr>
      <w:sz w:val="18"/>
      <w:szCs w:val="18"/>
      <w:lang w:val="en-GB"/>
    </w:rPr>
  </w:style>
  <w:style w:type="paragraph" w:styleId="stBilgi">
    <w:name w:val="header"/>
    <w:basedOn w:val="Normal"/>
    <w:link w:val="stBilgiChar"/>
    <w:uiPriority w:val="99"/>
    <w:unhideWhenUsed/>
    <w:rsid w:val="003B0055"/>
    <w:pPr>
      <w:tabs>
        <w:tab w:val="center" w:pos="4536"/>
        <w:tab w:val="right" w:pos="9072"/>
      </w:tabs>
    </w:pPr>
  </w:style>
  <w:style w:type="character" w:customStyle="1" w:styleId="stBilgiChar">
    <w:name w:val="Üst Bilgi Char"/>
    <w:basedOn w:val="VarsaylanParagrafYazTipi"/>
    <w:link w:val="stBilgi"/>
    <w:uiPriority w:val="99"/>
    <w:rsid w:val="003B0055"/>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3B0055"/>
    <w:pPr>
      <w:tabs>
        <w:tab w:val="center" w:pos="4536"/>
        <w:tab w:val="right" w:pos="9072"/>
      </w:tabs>
    </w:pPr>
  </w:style>
  <w:style w:type="character" w:customStyle="1" w:styleId="AltBilgiChar">
    <w:name w:val="Alt Bilgi Char"/>
    <w:basedOn w:val="VarsaylanParagrafYazTipi"/>
    <w:link w:val="AltBilgi"/>
    <w:uiPriority w:val="99"/>
    <w:rsid w:val="003B0055"/>
    <w:rPr>
      <w:rFonts w:ascii="Times New Roman" w:eastAsia="Times New Roman" w:hAnsi="Times New Roman" w:cs="Times New Roman"/>
      <w:sz w:val="24"/>
      <w:szCs w:val="24"/>
      <w:lang w:val="en-US"/>
    </w:rPr>
  </w:style>
  <w:style w:type="character" w:customStyle="1" w:styleId="ListeParagrafChar">
    <w:name w:val="Liste Paragraf Char"/>
    <w:aliases w:val="#Listenabsatz Char,UEDAŞ Bullet Char,abc siralı Char,Lijstalinea Char"/>
    <w:link w:val="ListeParagraf"/>
    <w:uiPriority w:val="34"/>
    <w:rsid w:val="00CB1C6F"/>
    <w:rPr>
      <w:rFonts w:ascii="Times New Roman" w:eastAsia="Times New Roman" w:hAnsi="Times New Roman" w:cs="Times New Roman"/>
      <w:sz w:val="24"/>
      <w:szCs w:val="24"/>
      <w:lang w:val="en-US"/>
    </w:rPr>
  </w:style>
  <w:style w:type="character" w:styleId="Kpr">
    <w:name w:val="Hyperlink"/>
    <w:basedOn w:val="VarsaylanParagrafYazTipi"/>
    <w:uiPriority w:val="99"/>
    <w:semiHidden/>
    <w:unhideWhenUsed/>
    <w:rsid w:val="00C925B4"/>
    <w:rPr>
      <w:color w:val="0000FF"/>
      <w:u w:val="single"/>
    </w:rPr>
  </w:style>
  <w:style w:type="paragraph" w:customStyle="1" w:styleId="LO-normal">
    <w:name w:val="LO-normal"/>
    <w:qFormat/>
    <w:rsid w:val="00705DEB"/>
    <w:pPr>
      <w:suppressAutoHyphens/>
      <w:spacing w:after="0" w:line="240" w:lineRule="auto"/>
    </w:pPr>
    <w:rPr>
      <w:rFonts w:ascii="Times New Roman" w:eastAsia="NSimSun" w:hAnsi="Times New Roman" w:cs="Arial"/>
      <w:sz w:val="24"/>
      <w:szCs w:val="24"/>
      <w:lang w:val="tr-T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056">
      <w:bodyDiv w:val="1"/>
      <w:marLeft w:val="0"/>
      <w:marRight w:val="0"/>
      <w:marTop w:val="0"/>
      <w:marBottom w:val="0"/>
      <w:divBdr>
        <w:top w:val="none" w:sz="0" w:space="0" w:color="auto"/>
        <w:left w:val="none" w:sz="0" w:space="0" w:color="auto"/>
        <w:bottom w:val="none" w:sz="0" w:space="0" w:color="auto"/>
        <w:right w:val="none" w:sz="0" w:space="0" w:color="auto"/>
      </w:divBdr>
    </w:div>
    <w:div w:id="456947794">
      <w:bodyDiv w:val="1"/>
      <w:marLeft w:val="0"/>
      <w:marRight w:val="0"/>
      <w:marTop w:val="0"/>
      <w:marBottom w:val="0"/>
      <w:divBdr>
        <w:top w:val="none" w:sz="0" w:space="0" w:color="auto"/>
        <w:left w:val="none" w:sz="0" w:space="0" w:color="auto"/>
        <w:bottom w:val="none" w:sz="0" w:space="0" w:color="auto"/>
        <w:right w:val="none" w:sz="0" w:space="0" w:color="auto"/>
      </w:divBdr>
    </w:div>
    <w:div w:id="480465052">
      <w:bodyDiv w:val="1"/>
      <w:marLeft w:val="0"/>
      <w:marRight w:val="0"/>
      <w:marTop w:val="0"/>
      <w:marBottom w:val="0"/>
      <w:divBdr>
        <w:top w:val="none" w:sz="0" w:space="0" w:color="auto"/>
        <w:left w:val="none" w:sz="0" w:space="0" w:color="auto"/>
        <w:bottom w:val="none" w:sz="0" w:space="0" w:color="auto"/>
        <w:right w:val="none" w:sz="0" w:space="0" w:color="auto"/>
      </w:divBdr>
    </w:div>
    <w:div w:id="1127890138">
      <w:bodyDiv w:val="1"/>
      <w:marLeft w:val="0"/>
      <w:marRight w:val="0"/>
      <w:marTop w:val="0"/>
      <w:marBottom w:val="0"/>
      <w:divBdr>
        <w:top w:val="none" w:sz="0" w:space="0" w:color="auto"/>
        <w:left w:val="none" w:sz="0" w:space="0" w:color="auto"/>
        <w:bottom w:val="none" w:sz="0" w:space="0" w:color="auto"/>
        <w:right w:val="none" w:sz="0" w:space="0" w:color="auto"/>
      </w:divBdr>
    </w:div>
    <w:div w:id="1186794616">
      <w:bodyDiv w:val="1"/>
      <w:marLeft w:val="0"/>
      <w:marRight w:val="0"/>
      <w:marTop w:val="0"/>
      <w:marBottom w:val="0"/>
      <w:divBdr>
        <w:top w:val="none" w:sz="0" w:space="0" w:color="auto"/>
        <w:left w:val="none" w:sz="0" w:space="0" w:color="auto"/>
        <w:bottom w:val="none" w:sz="0" w:space="0" w:color="auto"/>
        <w:right w:val="none" w:sz="0" w:space="0" w:color="auto"/>
      </w:divBdr>
    </w:div>
    <w:div w:id="1506088710">
      <w:bodyDiv w:val="1"/>
      <w:marLeft w:val="0"/>
      <w:marRight w:val="0"/>
      <w:marTop w:val="0"/>
      <w:marBottom w:val="0"/>
      <w:divBdr>
        <w:top w:val="none" w:sz="0" w:space="0" w:color="auto"/>
        <w:left w:val="none" w:sz="0" w:space="0" w:color="auto"/>
        <w:bottom w:val="none" w:sz="0" w:space="0" w:color="auto"/>
        <w:right w:val="none" w:sz="0" w:space="0" w:color="auto"/>
      </w:divBdr>
    </w:div>
    <w:div w:id="1676346001">
      <w:bodyDiv w:val="1"/>
      <w:marLeft w:val="0"/>
      <w:marRight w:val="0"/>
      <w:marTop w:val="0"/>
      <w:marBottom w:val="0"/>
      <w:divBdr>
        <w:top w:val="none" w:sz="0" w:space="0" w:color="auto"/>
        <w:left w:val="none" w:sz="0" w:space="0" w:color="auto"/>
        <w:bottom w:val="none" w:sz="0" w:space="0" w:color="auto"/>
        <w:right w:val="none" w:sz="0" w:space="0" w:color="auto"/>
      </w:divBdr>
      <w:divsChild>
        <w:div w:id="777218378">
          <w:marLeft w:val="0"/>
          <w:marRight w:val="0"/>
          <w:marTop w:val="0"/>
          <w:marBottom w:val="0"/>
          <w:divBdr>
            <w:top w:val="none" w:sz="0" w:space="0" w:color="auto"/>
            <w:left w:val="none" w:sz="0" w:space="0" w:color="auto"/>
            <w:bottom w:val="none" w:sz="0" w:space="0" w:color="auto"/>
            <w:right w:val="none" w:sz="0" w:space="0" w:color="auto"/>
          </w:divBdr>
        </w:div>
      </w:divsChild>
    </w:div>
    <w:div w:id="1693337709">
      <w:bodyDiv w:val="1"/>
      <w:marLeft w:val="0"/>
      <w:marRight w:val="0"/>
      <w:marTop w:val="0"/>
      <w:marBottom w:val="0"/>
      <w:divBdr>
        <w:top w:val="none" w:sz="0" w:space="0" w:color="auto"/>
        <w:left w:val="none" w:sz="0" w:space="0" w:color="auto"/>
        <w:bottom w:val="none" w:sz="0" w:space="0" w:color="auto"/>
        <w:right w:val="none" w:sz="0" w:space="0" w:color="auto"/>
      </w:divBdr>
      <w:divsChild>
        <w:div w:id="1699116496">
          <w:marLeft w:val="0"/>
          <w:marRight w:val="0"/>
          <w:marTop w:val="0"/>
          <w:marBottom w:val="0"/>
          <w:divBdr>
            <w:top w:val="none" w:sz="0" w:space="0" w:color="auto"/>
            <w:left w:val="none" w:sz="0" w:space="0" w:color="auto"/>
            <w:bottom w:val="none" w:sz="0" w:space="0" w:color="auto"/>
            <w:right w:val="none" w:sz="0" w:space="0" w:color="auto"/>
          </w:divBdr>
        </w:div>
      </w:divsChild>
    </w:div>
    <w:div w:id="18215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1f794e-c3f9-47d6-85aa-2646658d799b">
      <Terms xmlns="http://schemas.microsoft.com/office/infopath/2007/PartnerControls"/>
    </lcf76f155ced4ddcb4097134ff3c332f>
    <TaxCatchAll xmlns="2432277b-fa07-4bbd-9629-afb2bdac5c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7F511F8369B734BB116BEFB4291F447" ma:contentTypeVersion="16" ma:contentTypeDescription="Yeni belge oluşturun." ma:contentTypeScope="" ma:versionID="8bee498eef1af4803d8486e22d57c80c">
  <xsd:schema xmlns:xsd="http://www.w3.org/2001/XMLSchema" xmlns:xs="http://www.w3.org/2001/XMLSchema" xmlns:p="http://schemas.microsoft.com/office/2006/metadata/properties" xmlns:ns2="c41f794e-c3f9-47d6-85aa-2646658d799b" xmlns:ns3="2432277b-fa07-4bbd-9629-afb2bdac5c2b" targetNamespace="http://schemas.microsoft.com/office/2006/metadata/properties" ma:root="true" ma:fieldsID="d457f4339c6dd51a3116908cdae9dc59" ns2:_="" ns3:_="">
    <xsd:import namespace="c41f794e-c3f9-47d6-85aa-2646658d799b"/>
    <xsd:import namespace="2432277b-fa07-4bbd-9629-afb2bdac5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794e-c3f9-47d6-85aa-2646658d7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e20e2c44-6c8d-48d4-a853-3eb0708e1d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277b-fa07-4bbd-9629-afb2bdac5c2b"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3966385c-9a92-41b7-84e1-7996406090e0}" ma:internalName="TaxCatchAll" ma:showField="CatchAllData" ma:web="2432277b-fa07-4bbd-9629-afb2bdac5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8A08-97D6-474D-AF15-CF9C9B20EDC8}">
  <ds:schemaRefs>
    <ds:schemaRef ds:uri="http://schemas.microsoft.com/office/2006/metadata/properties"/>
    <ds:schemaRef ds:uri="http://schemas.microsoft.com/office/infopath/2007/PartnerControls"/>
    <ds:schemaRef ds:uri="c41f794e-c3f9-47d6-85aa-2646658d799b"/>
    <ds:schemaRef ds:uri="2432277b-fa07-4bbd-9629-afb2bdac5c2b"/>
  </ds:schemaRefs>
</ds:datastoreItem>
</file>

<file path=customXml/itemProps2.xml><?xml version="1.0" encoding="utf-8"?>
<ds:datastoreItem xmlns:ds="http://schemas.openxmlformats.org/officeDocument/2006/customXml" ds:itemID="{70E4EC43-7214-4B5B-90D1-B9CCBAC3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794e-c3f9-47d6-85aa-2646658d799b"/>
    <ds:schemaRef ds:uri="2432277b-fa07-4bbd-9629-afb2bdac5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A4D60-D27B-4387-92E5-936B97FFA02D}">
  <ds:schemaRefs>
    <ds:schemaRef ds:uri="http://schemas.microsoft.com/sharepoint/v3/contenttype/forms"/>
  </ds:schemaRefs>
</ds:datastoreItem>
</file>

<file path=customXml/itemProps4.xml><?xml version="1.0" encoding="utf-8"?>
<ds:datastoreItem xmlns:ds="http://schemas.openxmlformats.org/officeDocument/2006/customXml" ds:itemID="{3FD7C694-733D-43E7-8FE6-F5F793CA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GURBETOĞLU</dc:creator>
  <cp:keywords/>
  <dc:description/>
  <cp:lastModifiedBy>Aksan Hukuk Bürosu</cp:lastModifiedBy>
  <cp:revision>2</cp:revision>
  <dcterms:created xsi:type="dcterms:W3CDTF">2023-12-15T11:40:00Z</dcterms:created>
  <dcterms:modified xsi:type="dcterms:W3CDTF">2023-12-15T11:40:00Z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0x01010027F511F8369B734BB116BEFB4291F447</vt:lpwstr>
  </property>
  <property fmtid="{D5CDD505-2E9C-101B-9397-08002B2CF9AE}" pid="3" name="MediaServiceImageTags">
    <vt:lpwstr/>
  </property>
</Properties>
</file>