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460C66" w:rsidRPr="00460C66" w:rsidTr="00460C66">
        <w:trPr>
          <w:trHeight w:val="30"/>
          <w:tblCellSpacing w:w="0" w:type="dxa"/>
        </w:trPr>
        <w:tc>
          <w:tcPr>
            <w:tcW w:w="225" w:type="dxa"/>
            <w:shd w:val="clear" w:color="auto" w:fill="FFFFFF"/>
            <w:vAlign w:val="center"/>
            <w:hideMark/>
          </w:tcPr>
          <w:p w:rsidR="00460C66" w:rsidRPr="00460C66" w:rsidRDefault="00460C66" w:rsidP="00460C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ARDEB tarafından desteklenen projelerde öğrencilere yapılan burs ödemelerine ilişkin aylık üst limitler güncellenmiştir. Yeni burs tutarları aşağıdaki tabloda yer almakta olup, 1 </w:t>
            </w:r>
            <w:r w:rsidR="0078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Ocak</w:t>
            </w: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</w:t>
            </w:r>
            <w:r w:rsidR="0078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itibariyle geçerlidir. </w:t>
            </w:r>
          </w:p>
          <w:p w:rsidR="00460C66" w:rsidRPr="00460C66" w:rsidRDefault="00460C66" w:rsidP="00460C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Ek ödenek/fasıl aktarımı süreçleri beklenmeksizin</w:t>
            </w: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proje bütçelerinde yer alan mevcut </w:t>
            </w:r>
            <w:proofErr w:type="spellStart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bursiyer</w:t>
            </w:r>
            <w:proofErr w:type="spellEnd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ödenekleri faslından 1 </w:t>
            </w:r>
            <w:r w:rsidR="0078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Ocak</w:t>
            </w: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</w:t>
            </w:r>
            <w:r w:rsidR="0078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tarihinde güncellenen üst limitlere kadar öğrencilere ödeme yapılabilir. Ödenek yetersizliği durumunda </w:t>
            </w:r>
            <w:r w:rsidRPr="0046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başvurunuz üzerine</w:t>
            </w: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ilgili araştırma destek grupları fasıl aktarımı ve/veya ek ödenek yöntemlerini devreye alacaklardır. </w:t>
            </w:r>
          </w:p>
          <w:p w:rsidR="00460C66" w:rsidRPr="00460C66" w:rsidRDefault="00460C66" w:rsidP="00460C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Burs miktarlarındaki bu artışlara ilave olarak doktora öğrencileri ve doktora sonrası </w:t>
            </w:r>
            <w:proofErr w:type="spellStart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bursiyerler</w:t>
            </w:r>
            <w:proofErr w:type="spellEnd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yeni yürürlüğe giren "BİDEB 2250 Lisansüstü Bursları Performans </w:t>
            </w:r>
            <w:proofErr w:type="spellStart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Programı"nda</w:t>
            </w:r>
            <w:proofErr w:type="spellEnd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 alan performans </w:t>
            </w:r>
            <w:proofErr w:type="gramStart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kriterlerine</w:t>
            </w:r>
            <w:proofErr w:type="gramEnd"/>
            <w:r w:rsidRPr="004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göre başvuru yapmaları durumunda, sırasıyla 2000 TL/ay ve 2500 TL/aya kadar 6 ayda bir olmak üzere toplu performans ödemesi alabileceklerdir. Bununla ilgili olarak sizlere bilgilendirme yapılacaktır.</w:t>
            </w:r>
          </w:p>
          <w:p w:rsidR="00460C66" w:rsidRPr="00460C66" w:rsidRDefault="00460C66" w:rsidP="00460C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2"/>
              <w:gridCol w:w="2918"/>
            </w:tblGrid>
            <w:tr w:rsidR="00460C66" w:rsidRPr="00460C66">
              <w:trPr>
                <w:trHeight w:val="340"/>
              </w:trPr>
              <w:tc>
                <w:tcPr>
                  <w:tcW w:w="90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ARDEB ve TEYDEB Burs limitleri: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906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-BoldMT" w:eastAsia="Times New Roman" w:hAnsi="Arial-BoldMT" w:cs="Times New Roman"/>
                      <w:b/>
                      <w:bCs/>
                      <w:sz w:val="24"/>
                      <w:szCs w:val="24"/>
                      <w:lang w:eastAsia="tr-TR"/>
                    </w:rPr>
                    <w:t>Ücret karşılığı çalışmayanlar: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MT" w:eastAsia="Times New Roman" w:hAnsi="ArialMT" w:cs="Times New Roman"/>
                      <w:sz w:val="24"/>
                      <w:szCs w:val="24"/>
                      <w:lang w:eastAsia="tr-TR"/>
                    </w:rPr>
                    <w:t>Ön Lisans/Lisans Öğrencisi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7862C0" w:rsidP="00460C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2.180</w:t>
                  </w:r>
                  <w:r w:rsidR="00460C66"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.-TL/ay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MT" w:eastAsia="Times New Roman" w:hAnsi="ArialMT" w:cs="Times New Roman"/>
                      <w:sz w:val="24"/>
                      <w:szCs w:val="24"/>
                      <w:lang w:eastAsia="tr-TR"/>
                    </w:rPr>
                    <w:t>Yüksek Lisans Öğrencisi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7862C0" w:rsidP="007862C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7.275</w:t>
                  </w:r>
                  <w:r w:rsidR="00460C66"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.-TL/ay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MT" w:eastAsia="Times New Roman" w:hAnsi="ArialMT" w:cs="Times New Roman"/>
                      <w:sz w:val="24"/>
                      <w:szCs w:val="24"/>
                      <w:lang w:eastAsia="tr-TR"/>
                    </w:rPr>
                    <w:t>Doktora Öğrencisi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7862C0" w:rsidP="007862C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</w:t>
                  </w:r>
                  <w:r w:rsidR="00460C66"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920</w:t>
                  </w:r>
                  <w:r w:rsidR="00460C66"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.-TL/ay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MT" w:eastAsia="Times New Roman" w:hAnsi="ArialMT" w:cs="Times New Roman"/>
                      <w:sz w:val="24"/>
                      <w:szCs w:val="24"/>
                      <w:lang w:eastAsia="tr-TR"/>
                    </w:rPr>
                    <w:t>Doktora Sonrası Araştırmacı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7862C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</w:t>
                  </w:r>
                  <w:r w:rsidR="007862C0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</w:t>
                  </w:r>
                  <w:r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</w:t>
                  </w:r>
                  <w:r w:rsidR="007862C0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230</w:t>
                  </w:r>
                  <w:r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.TL/ay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906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-BoldMT" w:eastAsia="Times New Roman" w:hAnsi="Arial-BoldMT" w:cs="Times New Roman"/>
                      <w:b/>
                      <w:bCs/>
                      <w:sz w:val="24"/>
                      <w:szCs w:val="24"/>
                      <w:lang w:eastAsia="tr-TR"/>
                    </w:rPr>
                    <w:t>Ücretli görevi olanlar: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MT" w:eastAsia="Times New Roman" w:hAnsi="ArialMT" w:cs="Times New Roman"/>
                      <w:sz w:val="24"/>
                      <w:szCs w:val="24"/>
                      <w:lang w:eastAsia="tr-TR"/>
                    </w:rPr>
                    <w:t>Yüksek Lisans Öğrencisi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257B8B" w:rsidP="00460C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2.180</w:t>
                  </w:r>
                  <w:r w:rsidR="00460C66"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.-TL/ay</w:t>
                  </w:r>
                </w:p>
              </w:tc>
            </w:tr>
            <w:tr w:rsidR="00460C66" w:rsidRPr="00460C66">
              <w:trPr>
                <w:trHeight w:val="340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460C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MT" w:eastAsia="Times New Roman" w:hAnsi="ArialMT" w:cs="Times New Roman"/>
                      <w:sz w:val="24"/>
                      <w:szCs w:val="24"/>
                      <w:lang w:eastAsia="tr-TR"/>
                    </w:rPr>
                    <w:t>Doktora Öğrencisi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0C66" w:rsidRPr="00460C66" w:rsidRDefault="00460C66" w:rsidP="00257B8B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2.</w:t>
                  </w:r>
                  <w:r w:rsidR="00257B8B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975</w:t>
                  </w:r>
                  <w:r w:rsidRPr="00460C66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.-TL/ay</w:t>
                  </w:r>
                </w:p>
              </w:tc>
            </w:tr>
          </w:tbl>
          <w:p w:rsidR="00460C66" w:rsidRPr="00460C66" w:rsidRDefault="00460C66" w:rsidP="0046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B6E42" w:rsidRDefault="00CB6E42"/>
    <w:sectPr w:rsidR="00CB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66"/>
    <w:rsid w:val="00257B8B"/>
    <w:rsid w:val="00460C66"/>
    <w:rsid w:val="0054703F"/>
    <w:rsid w:val="006E7E79"/>
    <w:rsid w:val="007862C0"/>
    <w:rsid w:val="00942C31"/>
    <w:rsid w:val="00C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6842"/>
  <w15:chartTrackingRefBased/>
  <w15:docId w15:val="{9A2806EF-7C72-4001-8069-4627077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Alkan</dc:creator>
  <cp:keywords/>
  <dc:description/>
  <cp:lastModifiedBy>Zeynep Alkan</cp:lastModifiedBy>
  <cp:revision>4</cp:revision>
  <dcterms:created xsi:type="dcterms:W3CDTF">2023-01-17T11:39:00Z</dcterms:created>
  <dcterms:modified xsi:type="dcterms:W3CDTF">2023-01-17T11:41:00Z</dcterms:modified>
</cp:coreProperties>
</file>