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BF7BC" w14:textId="36C78C54" w:rsidR="0007079B" w:rsidRPr="009B7358" w:rsidRDefault="00F93CF2" w:rsidP="00816BF1">
      <w:pPr>
        <w:pStyle w:val="Heading1"/>
        <w:spacing w:before="0" w:line="360" w:lineRule="auto"/>
        <w:ind w:left="980" w:right="923" w:firstLine="1752"/>
        <w:jc w:val="left"/>
      </w:pPr>
      <w:r w:rsidRPr="009B7358">
        <w:t xml:space="preserve">TÜBİTAK ARDEB </w:t>
      </w:r>
      <w:r w:rsidR="006A5FC8">
        <w:t xml:space="preserve">3501 </w:t>
      </w:r>
      <w:r w:rsidRPr="009B7358">
        <w:t xml:space="preserve">PROGRAMI BAŞVURUDAN </w:t>
      </w:r>
      <w:r w:rsidRPr="009B7358">
        <w:rPr>
          <w:u w:val="thick"/>
        </w:rPr>
        <w:t>SONRA</w:t>
      </w:r>
      <w:r w:rsidRPr="009B7358">
        <w:t xml:space="preserve"> DİKKAT EDİLMESİ GEREKEN</w:t>
      </w:r>
      <w:r w:rsidRPr="009B7358">
        <w:rPr>
          <w:spacing w:val="-33"/>
        </w:rPr>
        <w:t xml:space="preserve"> </w:t>
      </w:r>
      <w:r w:rsidRPr="009B7358">
        <w:t>HUSUSLAR</w:t>
      </w:r>
    </w:p>
    <w:p w14:paraId="573BAAF5" w14:textId="77777777" w:rsidR="0007079B" w:rsidRPr="009B7358" w:rsidRDefault="0007079B" w:rsidP="00816BF1">
      <w:pPr>
        <w:pStyle w:val="BodyText"/>
        <w:spacing w:line="360" w:lineRule="auto"/>
        <w:ind w:left="0" w:firstLine="0"/>
        <w:jc w:val="left"/>
        <w:rPr>
          <w:b/>
        </w:rPr>
      </w:pPr>
    </w:p>
    <w:p w14:paraId="271A53AB" w14:textId="7FB42D95" w:rsidR="00475940" w:rsidRPr="009B7358" w:rsidRDefault="00F93CF2" w:rsidP="00475940">
      <w:pPr>
        <w:spacing w:line="360" w:lineRule="auto"/>
        <w:ind w:left="178" w:right="117"/>
        <w:jc w:val="both"/>
        <w:rPr>
          <w:b/>
          <w:sz w:val="24"/>
          <w:szCs w:val="24"/>
        </w:rPr>
      </w:pPr>
      <w:r w:rsidRPr="009B7358">
        <w:rPr>
          <w:b/>
          <w:sz w:val="24"/>
          <w:szCs w:val="24"/>
        </w:rPr>
        <w:t xml:space="preserve">Ön </w:t>
      </w:r>
      <w:r w:rsidR="0043456E">
        <w:rPr>
          <w:b/>
          <w:sz w:val="24"/>
          <w:szCs w:val="24"/>
        </w:rPr>
        <w:t xml:space="preserve">Değerlendirme Aşamasında Kontrol Edilen </w:t>
      </w:r>
      <w:r w:rsidRPr="009B7358">
        <w:rPr>
          <w:b/>
          <w:sz w:val="24"/>
          <w:szCs w:val="24"/>
        </w:rPr>
        <w:t xml:space="preserve">Hususlar </w:t>
      </w:r>
      <w:r w:rsidR="0043456E">
        <w:rPr>
          <w:b/>
          <w:sz w:val="24"/>
          <w:szCs w:val="24"/>
        </w:rPr>
        <w:t>(*)</w:t>
      </w:r>
    </w:p>
    <w:p w14:paraId="380898B8" w14:textId="7580B655" w:rsidR="0007079B" w:rsidRPr="009B7358" w:rsidRDefault="00F93CF2" w:rsidP="008200A7">
      <w:pPr>
        <w:pStyle w:val="ListParagraph"/>
        <w:numPr>
          <w:ilvl w:val="0"/>
          <w:numId w:val="1"/>
        </w:numPr>
        <w:tabs>
          <w:tab w:val="left" w:pos="539"/>
        </w:tabs>
        <w:spacing w:before="0" w:line="360" w:lineRule="auto"/>
        <w:rPr>
          <w:rFonts w:ascii="Symbol" w:hAnsi="Symbol"/>
          <w:sz w:val="24"/>
          <w:szCs w:val="24"/>
        </w:rPr>
      </w:pPr>
      <w:r w:rsidRPr="009B7358">
        <w:rPr>
          <w:sz w:val="24"/>
          <w:szCs w:val="24"/>
        </w:rPr>
        <w:t>Proje Başvuru Sistemindeki (PBS) başvuru adımlarının belirtilen tarihe kadar eksiksiz olarak tamamlanması ve aşağıda yer alan belgelerin eksiksiz</w:t>
      </w:r>
      <w:r w:rsidR="00041855" w:rsidRPr="009B7358">
        <w:rPr>
          <w:sz w:val="24"/>
          <w:szCs w:val="24"/>
        </w:rPr>
        <w:t xml:space="preserve"> olarak</w:t>
      </w:r>
      <w:r w:rsidRPr="009B7358">
        <w:rPr>
          <w:sz w:val="24"/>
          <w:szCs w:val="24"/>
        </w:rPr>
        <w:t xml:space="preserve"> ve istenilen formatta başvuru sistemine yüklenmiş</w:t>
      </w:r>
      <w:r w:rsidRPr="009B7358">
        <w:rPr>
          <w:spacing w:val="1"/>
          <w:sz w:val="24"/>
          <w:szCs w:val="24"/>
        </w:rPr>
        <w:t xml:space="preserve"> </w:t>
      </w:r>
      <w:r w:rsidRPr="009B7358">
        <w:rPr>
          <w:sz w:val="24"/>
          <w:szCs w:val="24"/>
        </w:rPr>
        <w:t>olması,</w:t>
      </w:r>
    </w:p>
    <w:p w14:paraId="3CD79D44" w14:textId="75AC42D9" w:rsidR="0007079B" w:rsidRPr="009B7358" w:rsidRDefault="00F93CF2" w:rsidP="00816BF1">
      <w:pPr>
        <w:pStyle w:val="ListParagraph"/>
        <w:numPr>
          <w:ilvl w:val="1"/>
          <w:numId w:val="1"/>
        </w:numPr>
        <w:tabs>
          <w:tab w:val="left" w:pos="1031"/>
        </w:tabs>
        <w:spacing w:before="0" w:line="360" w:lineRule="auto"/>
        <w:ind w:right="119"/>
        <w:rPr>
          <w:sz w:val="24"/>
          <w:szCs w:val="24"/>
        </w:rPr>
      </w:pPr>
      <w:r w:rsidRPr="009B7358">
        <w:rPr>
          <w:sz w:val="24"/>
          <w:szCs w:val="24"/>
        </w:rPr>
        <w:t xml:space="preserve">Başvuru Formu (Formun tüm maddelerinin doldurulmuş olması, İngilizce özet ve referans olarak verilen uluslararası yayınlar hariç Türkçe doldurulması ve </w:t>
      </w:r>
      <w:r w:rsidR="007F6EC0" w:rsidRPr="009B7358">
        <w:rPr>
          <w:sz w:val="24"/>
          <w:szCs w:val="24"/>
        </w:rPr>
        <w:t>2</w:t>
      </w:r>
      <w:r w:rsidR="006A5FC8">
        <w:rPr>
          <w:sz w:val="24"/>
          <w:szCs w:val="24"/>
        </w:rPr>
        <w:t>2</w:t>
      </w:r>
      <w:r w:rsidR="007F6EC0" w:rsidRPr="009B7358">
        <w:rPr>
          <w:sz w:val="24"/>
          <w:szCs w:val="24"/>
        </w:rPr>
        <w:t xml:space="preserve"> </w:t>
      </w:r>
      <w:r w:rsidRPr="009B7358">
        <w:rPr>
          <w:sz w:val="24"/>
          <w:szCs w:val="24"/>
        </w:rPr>
        <w:t>sayfayı</w:t>
      </w:r>
      <w:r w:rsidRPr="009B7358">
        <w:rPr>
          <w:spacing w:val="-2"/>
          <w:sz w:val="24"/>
          <w:szCs w:val="24"/>
        </w:rPr>
        <w:t xml:space="preserve"> </w:t>
      </w:r>
      <w:r w:rsidRPr="009B7358">
        <w:rPr>
          <w:sz w:val="24"/>
          <w:szCs w:val="24"/>
        </w:rPr>
        <w:t>aşmaması)</w:t>
      </w:r>
    </w:p>
    <w:p w14:paraId="36B90C0D" w14:textId="77777777" w:rsidR="0007079B" w:rsidRPr="009B7358" w:rsidRDefault="00F93CF2" w:rsidP="00816BF1">
      <w:pPr>
        <w:pStyle w:val="ListParagraph"/>
        <w:numPr>
          <w:ilvl w:val="1"/>
          <w:numId w:val="1"/>
        </w:numPr>
        <w:tabs>
          <w:tab w:val="left" w:pos="1031"/>
        </w:tabs>
        <w:spacing w:before="0" w:line="360" w:lineRule="auto"/>
        <w:ind w:right="0"/>
        <w:rPr>
          <w:sz w:val="24"/>
          <w:szCs w:val="24"/>
        </w:rPr>
      </w:pPr>
      <w:r w:rsidRPr="009B7358">
        <w:rPr>
          <w:sz w:val="24"/>
          <w:szCs w:val="24"/>
        </w:rPr>
        <w:t>EK-1</w:t>
      </w:r>
      <w:r w:rsidRPr="009B7358">
        <w:rPr>
          <w:spacing w:val="-1"/>
          <w:sz w:val="24"/>
          <w:szCs w:val="24"/>
        </w:rPr>
        <w:t xml:space="preserve"> </w:t>
      </w:r>
      <w:r w:rsidRPr="009B7358">
        <w:rPr>
          <w:sz w:val="24"/>
          <w:szCs w:val="24"/>
        </w:rPr>
        <w:t>Kaynaklar</w:t>
      </w:r>
    </w:p>
    <w:p w14:paraId="74101A19" w14:textId="77777777" w:rsidR="0007079B" w:rsidRPr="009B7358" w:rsidRDefault="00F93CF2" w:rsidP="00816BF1">
      <w:pPr>
        <w:pStyle w:val="ListParagraph"/>
        <w:numPr>
          <w:ilvl w:val="1"/>
          <w:numId w:val="1"/>
        </w:numPr>
        <w:tabs>
          <w:tab w:val="left" w:pos="1031"/>
        </w:tabs>
        <w:spacing w:before="0" w:line="360" w:lineRule="auto"/>
        <w:ind w:right="0"/>
        <w:rPr>
          <w:sz w:val="24"/>
          <w:szCs w:val="24"/>
        </w:rPr>
      </w:pPr>
      <w:r w:rsidRPr="009B7358">
        <w:rPr>
          <w:sz w:val="24"/>
          <w:szCs w:val="24"/>
        </w:rPr>
        <w:t>EK-2 Bütçe ve Gerekçesi (Formun tüm maddelerinin doldurulmuş</w:t>
      </w:r>
      <w:r w:rsidRPr="009B7358">
        <w:rPr>
          <w:spacing w:val="-17"/>
          <w:sz w:val="24"/>
          <w:szCs w:val="24"/>
        </w:rPr>
        <w:t xml:space="preserve"> </w:t>
      </w:r>
      <w:r w:rsidRPr="009B7358">
        <w:rPr>
          <w:sz w:val="24"/>
          <w:szCs w:val="24"/>
        </w:rPr>
        <w:t>olması)</w:t>
      </w:r>
    </w:p>
    <w:p w14:paraId="6A306CC0" w14:textId="1EE72892" w:rsidR="003E3FA9" w:rsidRPr="0043456E" w:rsidRDefault="003E3FA9" w:rsidP="0043456E">
      <w:pPr>
        <w:pStyle w:val="ListParagraph"/>
        <w:numPr>
          <w:ilvl w:val="1"/>
          <w:numId w:val="1"/>
        </w:numPr>
        <w:spacing w:line="360" w:lineRule="auto"/>
        <w:ind w:left="567" w:right="112" w:hanging="462"/>
        <w:rPr>
          <w:sz w:val="24"/>
          <w:szCs w:val="24"/>
        </w:rPr>
      </w:pPr>
      <w:r w:rsidRPr="0043456E">
        <w:rPr>
          <w:sz w:val="24"/>
          <w:szCs w:val="24"/>
        </w:rPr>
        <w:t xml:space="preserve">Proje yürütücüsü ve araştırmacıların, KARİYER programının </w:t>
      </w:r>
      <w:hyperlink r:id="rId7" w:tgtFrame="_blank" w:history="1">
        <w:r w:rsidRPr="0043456E">
          <w:rPr>
            <w:color w:val="1F497D" w:themeColor="text2"/>
            <w:sz w:val="24"/>
            <w:szCs w:val="24"/>
          </w:rPr>
          <w:t>başvuru koşullarını</w:t>
        </w:r>
      </w:hyperlink>
      <w:r w:rsidRPr="0043456E">
        <w:rPr>
          <w:color w:val="1F497D" w:themeColor="text2"/>
          <w:sz w:val="24"/>
          <w:szCs w:val="24"/>
        </w:rPr>
        <w:t xml:space="preserve"> </w:t>
      </w:r>
      <w:r w:rsidRPr="0043456E">
        <w:rPr>
          <w:sz w:val="24"/>
          <w:szCs w:val="24"/>
        </w:rPr>
        <w:t xml:space="preserve">sağlamadığının tespit edilmesi </w:t>
      </w:r>
    </w:p>
    <w:p w14:paraId="2AA872EB" w14:textId="6BEC1D1C" w:rsidR="0043456E" w:rsidRPr="0078722B" w:rsidRDefault="0043456E" w:rsidP="0043456E">
      <w:pPr>
        <w:pStyle w:val="BodyText"/>
        <w:numPr>
          <w:ilvl w:val="1"/>
          <w:numId w:val="1"/>
        </w:numPr>
        <w:spacing w:line="360" w:lineRule="auto"/>
        <w:ind w:left="567" w:right="117" w:hanging="462"/>
      </w:pPr>
      <w:r>
        <w:t xml:space="preserve">3501 kapsamında aynı proje önerisi </w:t>
      </w:r>
      <w:r>
        <w:t xml:space="preserve">ile </w:t>
      </w:r>
      <w:r>
        <w:t>3 kere</w:t>
      </w:r>
      <w:r>
        <w:t>den fazla başvuru yapıldığının tespit edilmesi</w:t>
      </w:r>
    </w:p>
    <w:p w14:paraId="3E2F21A7" w14:textId="46A420EF" w:rsidR="00816BF1" w:rsidRPr="009B7358" w:rsidRDefault="00816BF1" w:rsidP="00816BF1">
      <w:pPr>
        <w:pStyle w:val="ListParagraph"/>
        <w:numPr>
          <w:ilvl w:val="0"/>
          <w:numId w:val="1"/>
        </w:numPr>
        <w:tabs>
          <w:tab w:val="left" w:pos="539"/>
        </w:tabs>
        <w:spacing w:before="0" w:line="360" w:lineRule="auto"/>
        <w:ind w:right="112"/>
        <w:rPr>
          <w:rFonts w:ascii="Symbol" w:hAnsi="Symbol"/>
          <w:sz w:val="24"/>
          <w:szCs w:val="24"/>
        </w:rPr>
      </w:pPr>
      <w:r w:rsidRPr="009B7358">
        <w:rPr>
          <w:sz w:val="24"/>
          <w:szCs w:val="24"/>
        </w:rPr>
        <w:t>Aynı</w:t>
      </w:r>
      <w:r w:rsidR="00105954" w:rsidRPr="009B7358">
        <w:rPr>
          <w:sz w:val="24"/>
          <w:szCs w:val="24"/>
        </w:rPr>
        <w:t>/Benzer</w:t>
      </w:r>
      <w:r w:rsidRPr="009B7358">
        <w:rPr>
          <w:sz w:val="24"/>
          <w:szCs w:val="24"/>
        </w:rPr>
        <w:t xml:space="preserve"> proje önerisi ile daha önce TÜBİTAK’a başvuru yapıldı ve panel değerlendirmesi sonucunda projenin desteklenmesi uygun bulunmadı ise “Proje Önerisi Değişiklik Bildirim Formu”nun doldurulmuş olması, Elektronik Başvuru Sistemine girilen bilgiler doğrultusunda sistem tarafından otomatik olarak oluşturulan “Proje Önerisi Değişiklik Bildirim Formu” nun panel raporunda belirtilen değişiklik ve düzeltmeleri içermesi,</w:t>
      </w:r>
    </w:p>
    <w:p w14:paraId="312AD7BD" w14:textId="36CA3036" w:rsidR="00816BF1" w:rsidRPr="009B7358" w:rsidRDefault="00816BF1" w:rsidP="00816BF1">
      <w:pPr>
        <w:pStyle w:val="ListParagraph"/>
        <w:numPr>
          <w:ilvl w:val="0"/>
          <w:numId w:val="1"/>
        </w:numPr>
        <w:tabs>
          <w:tab w:val="left" w:pos="539"/>
        </w:tabs>
        <w:spacing w:before="0" w:line="360" w:lineRule="auto"/>
        <w:ind w:right="113"/>
        <w:rPr>
          <w:rFonts w:ascii="Symbol" w:hAnsi="Symbol"/>
          <w:sz w:val="24"/>
          <w:szCs w:val="24"/>
        </w:rPr>
      </w:pPr>
      <w:r w:rsidRPr="009B7358">
        <w:rPr>
          <w:sz w:val="24"/>
          <w:szCs w:val="24"/>
        </w:rPr>
        <w:t>Daha önce Kurumumuza sunulup reddedilen/iade edilen projelerin aynı/benzer içerikle tekrar sunulmaları halinde, ilk sunulan projede hak sahibi olarak adı geçip yeni sunulan proje önerisinde adı geçmeyen kişiler için “Feragat Formu”</w:t>
      </w:r>
      <w:r w:rsidR="0043456E">
        <w:rPr>
          <w:sz w:val="24"/>
          <w:szCs w:val="24"/>
        </w:rPr>
        <w:t xml:space="preserve"> onayının alınmış olması</w:t>
      </w:r>
      <w:r w:rsidRPr="009B7358">
        <w:rPr>
          <w:sz w:val="24"/>
          <w:szCs w:val="24"/>
        </w:rPr>
        <w:t>,</w:t>
      </w:r>
    </w:p>
    <w:p w14:paraId="53A33FDB" w14:textId="77777777" w:rsidR="00816BF1" w:rsidRPr="009B7358" w:rsidRDefault="00816BF1" w:rsidP="00816BF1">
      <w:pPr>
        <w:pStyle w:val="ListParagraph"/>
        <w:numPr>
          <w:ilvl w:val="0"/>
          <w:numId w:val="1"/>
        </w:numPr>
        <w:tabs>
          <w:tab w:val="left" w:pos="539"/>
        </w:tabs>
        <w:spacing w:before="0" w:line="360" w:lineRule="auto"/>
        <w:ind w:right="113"/>
        <w:rPr>
          <w:rFonts w:ascii="Symbol" w:hAnsi="Symbol"/>
          <w:sz w:val="24"/>
          <w:szCs w:val="24"/>
        </w:rPr>
      </w:pPr>
      <w:r w:rsidRPr="009B7358">
        <w:rPr>
          <w:sz w:val="24"/>
          <w:szCs w:val="24"/>
        </w:rPr>
        <w:t>Proje önerisinde yer alan metinsel ifadelerin, daha önce Kurumumuza sunulmuş olan (yürürlükte/sonuçlanmış ya da öneri durumunda olan projeler dâhil) projelerde yer alan ifadelerle büyük ölçüde benzerlik</w:t>
      </w:r>
      <w:r w:rsidRPr="009B7358">
        <w:rPr>
          <w:spacing w:val="-9"/>
          <w:sz w:val="24"/>
          <w:szCs w:val="24"/>
        </w:rPr>
        <w:t xml:space="preserve"> </w:t>
      </w:r>
      <w:r w:rsidRPr="009B7358">
        <w:rPr>
          <w:sz w:val="24"/>
          <w:szCs w:val="24"/>
        </w:rPr>
        <w:t>içermemesi,</w:t>
      </w:r>
    </w:p>
    <w:p w14:paraId="38D5985D" w14:textId="77777777" w:rsidR="00816BF1" w:rsidRPr="009B7358" w:rsidRDefault="00816BF1" w:rsidP="00816BF1">
      <w:pPr>
        <w:pStyle w:val="ListParagraph"/>
        <w:numPr>
          <w:ilvl w:val="0"/>
          <w:numId w:val="1"/>
        </w:numPr>
        <w:tabs>
          <w:tab w:val="left" w:pos="539"/>
        </w:tabs>
        <w:spacing w:before="0" w:line="360" w:lineRule="auto"/>
        <w:ind w:right="118"/>
        <w:rPr>
          <w:rFonts w:ascii="Symbol" w:hAnsi="Symbol"/>
          <w:sz w:val="24"/>
          <w:szCs w:val="24"/>
        </w:rPr>
      </w:pPr>
      <w:r w:rsidRPr="009B7358">
        <w:rPr>
          <w:sz w:val="24"/>
          <w:szCs w:val="24"/>
        </w:rPr>
        <w:t>Proje ekibinde yer alan kişilerin TÜBİTAK’a ya da farklı bir kurum/kuruluşa sunulmuş aynı/benzer içerikli yürürlükte/sonuçlanmış ya da öneri durumunda projelerinin olmaması, Elektronik Başvuru Sistemine girilen bilgiler doğrultusunda sistem tarafından otomatik olarak oluşturulan "EK-3 Proje Ekibinin Diğer Projeleri" belgesinin doldurulmuş</w:t>
      </w:r>
      <w:r w:rsidRPr="009B7358">
        <w:rPr>
          <w:spacing w:val="-1"/>
          <w:sz w:val="24"/>
          <w:szCs w:val="24"/>
        </w:rPr>
        <w:t xml:space="preserve"> </w:t>
      </w:r>
      <w:r w:rsidRPr="009B7358">
        <w:rPr>
          <w:sz w:val="24"/>
          <w:szCs w:val="24"/>
        </w:rPr>
        <w:t>olması,</w:t>
      </w:r>
    </w:p>
    <w:p w14:paraId="7542FF86" w14:textId="77777777" w:rsidR="00816BF1" w:rsidRPr="009B7358" w:rsidRDefault="00816BF1" w:rsidP="00816BF1">
      <w:pPr>
        <w:pStyle w:val="ListParagraph"/>
        <w:numPr>
          <w:ilvl w:val="0"/>
          <w:numId w:val="1"/>
        </w:numPr>
        <w:tabs>
          <w:tab w:val="left" w:pos="539"/>
        </w:tabs>
        <w:spacing w:before="0" w:line="360" w:lineRule="auto"/>
        <w:rPr>
          <w:rFonts w:ascii="Symbol" w:hAnsi="Symbol"/>
          <w:sz w:val="24"/>
          <w:szCs w:val="24"/>
        </w:rPr>
      </w:pPr>
      <w:r w:rsidRPr="009B7358">
        <w:rPr>
          <w:sz w:val="24"/>
          <w:szCs w:val="24"/>
        </w:rPr>
        <w:t xml:space="preserve">Başvuru formunda yer alan konu başlıklarının projeyi bilimsel olarak </w:t>
      </w:r>
      <w:r w:rsidRPr="009B7358">
        <w:rPr>
          <w:sz w:val="24"/>
          <w:szCs w:val="24"/>
        </w:rPr>
        <w:lastRenderedPageBreak/>
        <w:t>değerlendirebilecek yeterlilikte bilgi</w:t>
      </w:r>
      <w:r w:rsidRPr="009B7358">
        <w:rPr>
          <w:spacing w:val="1"/>
          <w:sz w:val="24"/>
          <w:szCs w:val="24"/>
        </w:rPr>
        <w:t xml:space="preserve"> </w:t>
      </w:r>
      <w:r w:rsidRPr="009B7358">
        <w:rPr>
          <w:sz w:val="24"/>
          <w:szCs w:val="24"/>
        </w:rPr>
        <w:t>içermesi,</w:t>
      </w:r>
    </w:p>
    <w:p w14:paraId="2651AC6B" w14:textId="77777777" w:rsidR="00816BF1" w:rsidRPr="009B7358" w:rsidRDefault="00816BF1" w:rsidP="00816BF1">
      <w:pPr>
        <w:pStyle w:val="ListParagraph"/>
        <w:numPr>
          <w:ilvl w:val="0"/>
          <w:numId w:val="1"/>
        </w:numPr>
        <w:tabs>
          <w:tab w:val="left" w:pos="539"/>
        </w:tabs>
        <w:spacing w:before="0" w:line="360" w:lineRule="auto"/>
        <w:ind w:right="112"/>
        <w:rPr>
          <w:rFonts w:ascii="Symbol" w:hAnsi="Symbol"/>
          <w:sz w:val="24"/>
          <w:szCs w:val="24"/>
        </w:rPr>
      </w:pPr>
      <w:r w:rsidRPr="009B7358">
        <w:rPr>
          <w:sz w:val="24"/>
          <w:szCs w:val="24"/>
        </w:rPr>
        <w:t>Sunulan kaynak listesinin güncel olması, proje metni ile ilişkilendirilmesi; proje önerisinde atıf yapılan tüm çalışmalara kaynakçada yer</w:t>
      </w:r>
      <w:r w:rsidRPr="009B7358">
        <w:rPr>
          <w:spacing w:val="-5"/>
          <w:sz w:val="24"/>
          <w:szCs w:val="24"/>
        </w:rPr>
        <w:t xml:space="preserve"> </w:t>
      </w:r>
      <w:r w:rsidRPr="009B7358">
        <w:rPr>
          <w:sz w:val="24"/>
          <w:szCs w:val="24"/>
        </w:rPr>
        <w:t>verilmesi,</w:t>
      </w:r>
    </w:p>
    <w:p w14:paraId="26505EB6" w14:textId="77777777" w:rsidR="00816BF1" w:rsidRPr="009B7358" w:rsidRDefault="00816BF1" w:rsidP="00816BF1">
      <w:pPr>
        <w:pStyle w:val="ListParagraph"/>
        <w:numPr>
          <w:ilvl w:val="0"/>
          <w:numId w:val="1"/>
        </w:numPr>
        <w:tabs>
          <w:tab w:val="left" w:pos="539"/>
        </w:tabs>
        <w:spacing w:before="0" w:line="360" w:lineRule="auto"/>
        <w:ind w:right="0" w:hanging="361"/>
        <w:rPr>
          <w:rFonts w:ascii="Symbol" w:hAnsi="Symbol"/>
          <w:sz w:val="24"/>
          <w:szCs w:val="24"/>
        </w:rPr>
      </w:pPr>
      <w:r w:rsidRPr="009B7358">
        <w:rPr>
          <w:sz w:val="24"/>
          <w:szCs w:val="24"/>
        </w:rPr>
        <w:t>Projenin araştırma projesi kriterlerine uygun</w:t>
      </w:r>
      <w:r w:rsidRPr="009B7358">
        <w:rPr>
          <w:spacing w:val="-2"/>
          <w:sz w:val="24"/>
          <w:szCs w:val="24"/>
        </w:rPr>
        <w:t xml:space="preserve"> </w:t>
      </w:r>
      <w:r w:rsidRPr="009B7358">
        <w:rPr>
          <w:sz w:val="24"/>
          <w:szCs w:val="24"/>
        </w:rPr>
        <w:t>olması</w:t>
      </w:r>
    </w:p>
    <w:p w14:paraId="744E3DC9" w14:textId="1E15D457" w:rsidR="00816BF1" w:rsidRPr="009B7358" w:rsidRDefault="00816BF1" w:rsidP="00816BF1">
      <w:pPr>
        <w:pStyle w:val="ListParagraph"/>
        <w:numPr>
          <w:ilvl w:val="0"/>
          <w:numId w:val="1"/>
        </w:numPr>
        <w:tabs>
          <w:tab w:val="left" w:pos="539"/>
        </w:tabs>
        <w:spacing w:before="0" w:line="360" w:lineRule="auto"/>
        <w:ind w:hanging="425"/>
        <w:rPr>
          <w:rFonts w:ascii="Symbol" w:hAnsi="Symbol"/>
          <w:sz w:val="24"/>
          <w:szCs w:val="24"/>
        </w:rPr>
      </w:pPr>
      <w:r w:rsidRPr="009B7358">
        <w:rPr>
          <w:sz w:val="24"/>
          <w:szCs w:val="24"/>
        </w:rPr>
        <w:t>TÜBİTAK’tan talep edilen destek miktarının "</w:t>
      </w:r>
      <w:r w:rsidR="006A5FC8">
        <w:rPr>
          <w:sz w:val="24"/>
          <w:szCs w:val="24"/>
        </w:rPr>
        <w:t>35</w:t>
      </w:r>
      <w:r w:rsidRPr="009B7358">
        <w:rPr>
          <w:sz w:val="24"/>
          <w:szCs w:val="24"/>
        </w:rPr>
        <w:t>01 Programı" için belirlenen destek üst limitini aşmaması (Başvuru formunun eki olan “EK-2 Bütçe ve Gerekçesi”nde yer alan “Genel Bütçe Tablosu”nda belirtilen rakamlarla ayrıntılı bütçe tablolarında yer alan miktarların birbirinden farklı</w:t>
      </w:r>
      <w:r w:rsidRPr="009B7358">
        <w:rPr>
          <w:spacing w:val="-10"/>
          <w:sz w:val="24"/>
          <w:szCs w:val="24"/>
        </w:rPr>
        <w:t xml:space="preserve"> </w:t>
      </w:r>
      <w:r w:rsidRPr="009B7358">
        <w:rPr>
          <w:sz w:val="24"/>
          <w:szCs w:val="24"/>
        </w:rPr>
        <w:t>olmaması)</w:t>
      </w:r>
    </w:p>
    <w:p w14:paraId="78A547C5" w14:textId="77777777" w:rsidR="00816BF1" w:rsidRPr="009B7358" w:rsidRDefault="00475940" w:rsidP="00816BF1">
      <w:pPr>
        <w:pStyle w:val="ListParagraph"/>
        <w:numPr>
          <w:ilvl w:val="0"/>
          <w:numId w:val="1"/>
        </w:numPr>
        <w:tabs>
          <w:tab w:val="left" w:pos="539"/>
        </w:tabs>
        <w:spacing w:before="0" w:line="360" w:lineRule="auto"/>
        <w:rPr>
          <w:rFonts w:ascii="Symbol" w:hAnsi="Symbol"/>
          <w:sz w:val="24"/>
          <w:szCs w:val="24"/>
        </w:rPr>
      </w:pPr>
      <w:r w:rsidRPr="009B7358">
        <w:rPr>
          <w:sz w:val="24"/>
          <w:szCs w:val="24"/>
        </w:rPr>
        <w:t>Talep edilen</w:t>
      </w:r>
      <w:r w:rsidR="00816BF1" w:rsidRPr="009B7358">
        <w:rPr>
          <w:sz w:val="24"/>
          <w:szCs w:val="24"/>
        </w:rPr>
        <w:t xml:space="preserve"> </w:t>
      </w:r>
      <w:r w:rsidRPr="009B7358">
        <w:rPr>
          <w:sz w:val="24"/>
          <w:szCs w:val="24"/>
        </w:rPr>
        <w:t>makine-teçhizat ve hizmet alımı giderlerine ilişkin</w:t>
      </w:r>
      <w:r w:rsidR="00816BF1" w:rsidRPr="009B7358">
        <w:rPr>
          <w:sz w:val="24"/>
          <w:szCs w:val="24"/>
        </w:rPr>
        <w:t xml:space="preserve"> </w:t>
      </w:r>
      <w:r w:rsidRPr="009B7358">
        <w:rPr>
          <w:sz w:val="24"/>
          <w:szCs w:val="24"/>
        </w:rPr>
        <w:t xml:space="preserve">teknik özelliklere  “EK-2 Bütçe ve Gerekçesi”nde detaylı olarak yer verilmesi ve </w:t>
      </w:r>
      <w:r w:rsidR="00816BF1" w:rsidRPr="009B7358">
        <w:rPr>
          <w:sz w:val="24"/>
          <w:szCs w:val="24"/>
        </w:rPr>
        <w:t>sarf malzemeleri için projede gerekliliklerinin değerlendirilmesine imkân veren ayrıntıda liste</w:t>
      </w:r>
      <w:r w:rsidR="00816BF1" w:rsidRPr="009B7358">
        <w:rPr>
          <w:spacing w:val="1"/>
          <w:sz w:val="24"/>
          <w:szCs w:val="24"/>
        </w:rPr>
        <w:t xml:space="preserve"> </w:t>
      </w:r>
      <w:r w:rsidR="00816BF1" w:rsidRPr="009B7358">
        <w:rPr>
          <w:sz w:val="24"/>
          <w:szCs w:val="24"/>
        </w:rPr>
        <w:t>hazırlanması,</w:t>
      </w:r>
    </w:p>
    <w:p w14:paraId="77BF453A" w14:textId="77777777" w:rsidR="00816BF1" w:rsidRPr="009B7358" w:rsidRDefault="00816BF1" w:rsidP="00816BF1">
      <w:pPr>
        <w:pStyle w:val="ListParagraph"/>
        <w:numPr>
          <w:ilvl w:val="0"/>
          <w:numId w:val="1"/>
        </w:numPr>
        <w:tabs>
          <w:tab w:val="left" w:pos="539"/>
        </w:tabs>
        <w:spacing w:before="0" w:line="360" w:lineRule="auto"/>
        <w:ind w:right="115"/>
        <w:rPr>
          <w:rFonts w:ascii="Symbol" w:hAnsi="Symbol"/>
          <w:sz w:val="24"/>
          <w:szCs w:val="24"/>
        </w:rPr>
      </w:pPr>
      <w:r w:rsidRPr="009B7358">
        <w:rPr>
          <w:sz w:val="24"/>
          <w:szCs w:val="24"/>
        </w:rPr>
        <w:t>Saha çalışması dışındaki faaliyetler için yapılacak olan yurt içi / yurt dışı seyahat giderlerinin ilgili program için belirlenen destek üst limitini</w:t>
      </w:r>
      <w:r w:rsidRPr="009B7358">
        <w:rPr>
          <w:spacing w:val="-7"/>
          <w:sz w:val="24"/>
          <w:szCs w:val="24"/>
        </w:rPr>
        <w:t xml:space="preserve"> </w:t>
      </w:r>
      <w:r w:rsidRPr="009B7358">
        <w:rPr>
          <w:sz w:val="24"/>
          <w:szCs w:val="24"/>
        </w:rPr>
        <w:t>aşmaması,</w:t>
      </w:r>
    </w:p>
    <w:p w14:paraId="7FCFBB3A" w14:textId="77777777" w:rsidR="00816BF1" w:rsidRPr="009B7358" w:rsidRDefault="00816BF1" w:rsidP="00475940">
      <w:pPr>
        <w:pStyle w:val="ListParagraph"/>
        <w:numPr>
          <w:ilvl w:val="0"/>
          <w:numId w:val="1"/>
        </w:numPr>
        <w:tabs>
          <w:tab w:val="left" w:pos="539"/>
        </w:tabs>
        <w:spacing w:before="0" w:line="360" w:lineRule="auto"/>
        <w:rPr>
          <w:rFonts w:ascii="Symbol" w:hAnsi="Symbol"/>
          <w:sz w:val="24"/>
          <w:szCs w:val="24"/>
        </w:rPr>
      </w:pPr>
      <w:r w:rsidRPr="009B7358">
        <w:rPr>
          <w:sz w:val="24"/>
          <w:szCs w:val="24"/>
        </w:rPr>
        <w:t>Projenin yurt dışı saha çalışması içermemesi (</w:t>
      </w:r>
      <w:r w:rsidR="00475940" w:rsidRPr="009B7358">
        <w:rPr>
          <w:sz w:val="24"/>
          <w:szCs w:val="24"/>
        </w:rPr>
        <w:t>S</w:t>
      </w:r>
      <w:r w:rsidRPr="009B7358">
        <w:rPr>
          <w:sz w:val="24"/>
          <w:szCs w:val="24"/>
        </w:rPr>
        <w:t>adece sosyal ve beşeri bilimler alanında yürütülecek projeler kapsamında ilgili mevzuat maddesinde yer alan hususlar çerçevesinde yurt dışı saha çalışmaları</w:t>
      </w:r>
      <w:r w:rsidRPr="009B7358">
        <w:rPr>
          <w:spacing w:val="-9"/>
          <w:sz w:val="24"/>
          <w:szCs w:val="24"/>
        </w:rPr>
        <w:t xml:space="preserve"> </w:t>
      </w:r>
      <w:r w:rsidRPr="009B7358">
        <w:rPr>
          <w:sz w:val="24"/>
          <w:szCs w:val="24"/>
        </w:rPr>
        <w:t>desteklenmektedir</w:t>
      </w:r>
      <w:r w:rsidR="00475940" w:rsidRPr="009B7358">
        <w:rPr>
          <w:sz w:val="24"/>
          <w:szCs w:val="24"/>
        </w:rPr>
        <w:t>.</w:t>
      </w:r>
      <w:r w:rsidRPr="009B7358">
        <w:rPr>
          <w:sz w:val="24"/>
          <w:szCs w:val="24"/>
        </w:rPr>
        <w:t>)</w:t>
      </w:r>
    </w:p>
    <w:p w14:paraId="5F4E9555" w14:textId="77777777" w:rsidR="00816BF1" w:rsidRPr="009B7358" w:rsidRDefault="00816BF1" w:rsidP="00475940">
      <w:pPr>
        <w:tabs>
          <w:tab w:val="left" w:pos="1031"/>
        </w:tabs>
        <w:spacing w:line="360" w:lineRule="auto"/>
        <w:ind w:right="116"/>
        <w:rPr>
          <w:sz w:val="24"/>
          <w:szCs w:val="24"/>
        </w:rPr>
      </w:pPr>
    </w:p>
    <w:p w14:paraId="56CDE046" w14:textId="12090CBE" w:rsidR="0043456E" w:rsidRDefault="00816BF1" w:rsidP="0043456E">
      <w:pPr>
        <w:pStyle w:val="Heading1"/>
        <w:spacing w:before="0" w:line="360" w:lineRule="auto"/>
      </w:pPr>
      <w:r w:rsidRPr="009B7358">
        <w:t>Projenin Desteklenmesine Karar Verildikten Sonra Araştırma Destek Grupları Tarafından Talep</w:t>
      </w:r>
      <w:r w:rsidR="0081159A" w:rsidRPr="009B7358">
        <w:t xml:space="preserve"> E</w:t>
      </w:r>
      <w:r w:rsidR="008200A7" w:rsidRPr="009B7358">
        <w:t>dilen ve</w:t>
      </w:r>
      <w:r w:rsidR="0081159A" w:rsidRPr="009B7358">
        <w:t xml:space="preserve"> </w:t>
      </w:r>
      <w:r w:rsidR="008200A7" w:rsidRPr="009B7358">
        <w:t xml:space="preserve">Eksikliği </w:t>
      </w:r>
      <w:r w:rsidRPr="009B7358">
        <w:t xml:space="preserve">Projenin Destek Kararının İptal Edilmesine Neden Olan Hususlar </w:t>
      </w:r>
      <w:r w:rsidR="0043456E">
        <w:t>(</w:t>
      </w:r>
      <w:bookmarkStart w:id="0" w:name="_GoBack"/>
      <w:bookmarkEnd w:id="0"/>
      <w:r w:rsidR="0043456E">
        <w:t>**)</w:t>
      </w:r>
    </w:p>
    <w:p w14:paraId="0C425061" w14:textId="77777777" w:rsidR="0043456E" w:rsidRDefault="0043456E" w:rsidP="0043456E">
      <w:pPr>
        <w:pStyle w:val="Heading1"/>
        <w:spacing w:before="0" w:line="360" w:lineRule="auto"/>
      </w:pPr>
    </w:p>
    <w:p w14:paraId="44F88DAB" w14:textId="0C8039C5" w:rsidR="008200A7" w:rsidRPr="0043456E" w:rsidRDefault="008200A7" w:rsidP="0043456E">
      <w:pPr>
        <w:pStyle w:val="Heading1"/>
        <w:spacing w:before="0" w:line="360" w:lineRule="auto"/>
        <w:rPr>
          <w:b w:val="0"/>
        </w:rPr>
      </w:pPr>
      <w:r w:rsidRPr="0043456E">
        <w:rPr>
          <w:b w:val="0"/>
          <w:u w:val="single"/>
        </w:rPr>
        <w:t xml:space="preserve">Proje kapsamında gerekli olması halinde </w:t>
      </w:r>
      <w:r w:rsidRPr="0043456E">
        <w:rPr>
          <w:b w:val="0"/>
        </w:rPr>
        <w:t xml:space="preserve">aşağıdaki belgelerin belirtilen tarihe kadar eksiksiz </w:t>
      </w:r>
      <w:r w:rsidR="00041855" w:rsidRPr="0043456E">
        <w:rPr>
          <w:b w:val="0"/>
        </w:rPr>
        <w:t xml:space="preserve">olarak </w:t>
      </w:r>
      <w:r w:rsidR="0043456E">
        <w:rPr>
          <w:b w:val="0"/>
        </w:rPr>
        <w:t>ve istenilen formatta sunulması,</w:t>
      </w:r>
    </w:p>
    <w:p w14:paraId="6F29465D" w14:textId="77777777" w:rsidR="0043456E" w:rsidRPr="009B7358" w:rsidRDefault="0043456E" w:rsidP="0043456E">
      <w:pPr>
        <w:pStyle w:val="Heading1"/>
        <w:spacing w:before="0" w:line="360" w:lineRule="auto"/>
      </w:pPr>
    </w:p>
    <w:p w14:paraId="48BC6CD6" w14:textId="77777777" w:rsidR="008200A7" w:rsidRPr="009B7358" w:rsidRDefault="008200A7" w:rsidP="008200A7">
      <w:pPr>
        <w:pStyle w:val="BodyText"/>
        <w:numPr>
          <w:ilvl w:val="0"/>
          <w:numId w:val="3"/>
        </w:numPr>
        <w:spacing w:line="360" w:lineRule="auto"/>
        <w:ind w:left="993" w:right="115" w:hanging="426"/>
        <w:rPr>
          <w:b/>
        </w:rPr>
      </w:pPr>
      <w:r w:rsidRPr="009B7358">
        <w:rPr>
          <w:b/>
        </w:rPr>
        <w:t>Etik, Yasal ve Özel İzin Belgeleri</w:t>
      </w:r>
    </w:p>
    <w:p w14:paraId="7FA83B6F" w14:textId="77777777" w:rsidR="008200A7" w:rsidRPr="009B7358" w:rsidRDefault="00E4534B" w:rsidP="008200A7">
      <w:pPr>
        <w:pStyle w:val="BodyText"/>
        <w:spacing w:line="360" w:lineRule="auto"/>
        <w:ind w:left="993" w:right="113" w:firstLine="0"/>
      </w:pPr>
      <w:r w:rsidRPr="009B7358">
        <w:t>Söz konusu belgelerin belirlenen</w:t>
      </w:r>
      <w:r w:rsidR="008200A7" w:rsidRPr="009B7358">
        <w:t xml:space="preserve"> son </w:t>
      </w:r>
      <w:r w:rsidRPr="009B7358">
        <w:t>tarihe</w:t>
      </w:r>
      <w:r w:rsidR="008200A7" w:rsidRPr="009B7358">
        <w:t xml:space="preserve"> </w:t>
      </w:r>
      <w:r w:rsidR="008200A7" w:rsidRPr="008E1857">
        <w:t xml:space="preserve">kadar </w:t>
      </w:r>
      <w:r w:rsidRPr="008E1857">
        <w:t xml:space="preserve">ibraz edilmesi zorunlu olduğundan, </w:t>
      </w:r>
      <w:r w:rsidR="008200A7" w:rsidRPr="008E1857">
        <w:t>ilg</w:t>
      </w:r>
      <w:r w:rsidRPr="008E1857">
        <w:t>ili mercilere yapılacak başvurularda</w:t>
      </w:r>
      <w:r w:rsidR="008200A7" w:rsidRPr="008E1857">
        <w:t xml:space="preserve"> gecikilmemeli ve ayrıca belge</w:t>
      </w:r>
      <w:r w:rsidRPr="008E1857">
        <w:t xml:space="preserve">lerin </w:t>
      </w:r>
      <w:r w:rsidR="008200A7" w:rsidRPr="008E1857">
        <w:t xml:space="preserve">istenilen kriterlere uygun olmasına dikkat  edilmelidir. </w:t>
      </w:r>
      <w:r w:rsidR="008200A7" w:rsidRPr="008E1857">
        <w:rPr>
          <w:u w:val="single" w:color="538DD3"/>
        </w:rPr>
        <w:t>(Etik Kurul Onay Belgesi ve Yasal/Özel İzin Belgesi Bilgi Notlarını</w:t>
      </w:r>
      <w:r w:rsidR="008200A7" w:rsidRPr="008E1857">
        <w:rPr>
          <w:spacing w:val="-31"/>
          <w:u w:val="single" w:color="538DD3"/>
        </w:rPr>
        <w:t xml:space="preserve"> </w:t>
      </w:r>
      <w:r w:rsidR="008200A7" w:rsidRPr="008E1857">
        <w:rPr>
          <w:u w:val="single" w:color="538DD3"/>
        </w:rPr>
        <w:t>inceleyiniz</w:t>
      </w:r>
      <w:r w:rsidRPr="008E1857">
        <w:rPr>
          <w:u w:val="single" w:color="538DD3"/>
        </w:rPr>
        <w:t>.</w:t>
      </w:r>
      <w:r w:rsidR="008200A7" w:rsidRPr="008E1857">
        <w:rPr>
          <w:u w:val="single" w:color="538DD3"/>
        </w:rPr>
        <w:t>)</w:t>
      </w:r>
    </w:p>
    <w:p w14:paraId="73FD0E87" w14:textId="77777777" w:rsidR="008200A7" w:rsidRPr="009B7358" w:rsidRDefault="008200A7" w:rsidP="008200A7">
      <w:pPr>
        <w:pStyle w:val="BodyText"/>
        <w:spacing w:line="360" w:lineRule="auto"/>
        <w:jc w:val="left"/>
      </w:pPr>
    </w:p>
    <w:p w14:paraId="4E233EF6" w14:textId="77777777" w:rsidR="008200A7" w:rsidRPr="009B7358" w:rsidRDefault="00E4534B" w:rsidP="00E4534B">
      <w:pPr>
        <w:pStyle w:val="BodyText"/>
        <w:numPr>
          <w:ilvl w:val="0"/>
          <w:numId w:val="3"/>
        </w:numPr>
        <w:spacing w:line="360" w:lineRule="auto"/>
        <w:ind w:left="993" w:right="115" w:hanging="426"/>
        <w:rPr>
          <w:b/>
        </w:rPr>
      </w:pPr>
      <w:r w:rsidRPr="009B7358">
        <w:rPr>
          <w:b/>
        </w:rPr>
        <w:t>KOBİ Beyannamesi</w:t>
      </w:r>
    </w:p>
    <w:p w14:paraId="39334F31" w14:textId="5D353464" w:rsidR="00E4534B" w:rsidRDefault="00E4534B" w:rsidP="00E4534B">
      <w:pPr>
        <w:tabs>
          <w:tab w:val="left" w:pos="1031"/>
        </w:tabs>
        <w:spacing w:line="360" w:lineRule="auto"/>
        <w:ind w:left="993" w:right="112"/>
        <w:jc w:val="both"/>
        <w:rPr>
          <w:sz w:val="24"/>
          <w:szCs w:val="24"/>
        </w:rPr>
      </w:pPr>
      <w:r w:rsidRPr="009B7358">
        <w:rPr>
          <w:sz w:val="24"/>
          <w:szCs w:val="24"/>
        </w:rPr>
        <w:t>Küçük ve Orta Büyüklükte İşletme (KOBİ) olma şartlarına ulaşamamış sermaye şirketleri ve KOBİ niteliğindeki işletmelerin yönetici ve ortaklarının projede yer alması durumunda KOBİ</w:t>
      </w:r>
      <w:r w:rsidRPr="009B7358">
        <w:rPr>
          <w:spacing w:val="-2"/>
          <w:sz w:val="24"/>
          <w:szCs w:val="24"/>
        </w:rPr>
        <w:t xml:space="preserve"> </w:t>
      </w:r>
      <w:r w:rsidRPr="009B7358">
        <w:rPr>
          <w:sz w:val="24"/>
          <w:szCs w:val="24"/>
        </w:rPr>
        <w:t>Beyannamesi sunulması gerekmektedir.</w:t>
      </w:r>
    </w:p>
    <w:p w14:paraId="5D27C2C8" w14:textId="77777777" w:rsidR="0043456E" w:rsidRPr="009B7358" w:rsidRDefault="0043456E" w:rsidP="00E4534B">
      <w:pPr>
        <w:tabs>
          <w:tab w:val="left" w:pos="1031"/>
        </w:tabs>
        <w:spacing w:line="360" w:lineRule="auto"/>
        <w:ind w:left="993" w:right="112"/>
        <w:jc w:val="both"/>
        <w:rPr>
          <w:sz w:val="24"/>
          <w:szCs w:val="24"/>
        </w:rPr>
      </w:pPr>
    </w:p>
    <w:p w14:paraId="0071CCE4" w14:textId="77777777" w:rsidR="00E4534B" w:rsidRPr="009B7358" w:rsidRDefault="00E4534B" w:rsidP="00E4534B">
      <w:pPr>
        <w:tabs>
          <w:tab w:val="left" w:pos="1031"/>
        </w:tabs>
        <w:spacing w:line="360" w:lineRule="auto"/>
        <w:ind w:left="993" w:right="112"/>
        <w:jc w:val="both"/>
        <w:rPr>
          <w:sz w:val="24"/>
          <w:szCs w:val="24"/>
        </w:rPr>
      </w:pPr>
    </w:p>
    <w:p w14:paraId="28CE023F" w14:textId="77777777" w:rsidR="00E4534B" w:rsidRPr="009B7358" w:rsidRDefault="00E4534B" w:rsidP="00E4534B">
      <w:pPr>
        <w:pStyle w:val="Heading1"/>
        <w:numPr>
          <w:ilvl w:val="0"/>
          <w:numId w:val="3"/>
        </w:numPr>
        <w:spacing w:before="0" w:line="360" w:lineRule="auto"/>
        <w:ind w:left="993" w:hanging="426"/>
      </w:pPr>
      <w:r w:rsidRPr="009B7358">
        <w:t>Proforma Fatura</w:t>
      </w:r>
    </w:p>
    <w:p w14:paraId="0239064E" w14:textId="74B5387B" w:rsidR="00E4534B" w:rsidRDefault="00E4534B" w:rsidP="00E4534B">
      <w:pPr>
        <w:pStyle w:val="BodyText"/>
        <w:spacing w:line="360" w:lineRule="auto"/>
        <w:ind w:left="993" w:right="120" w:firstLine="0"/>
      </w:pPr>
      <w:r w:rsidRPr="009B7358">
        <w:t xml:space="preserve">Talep edilen makine-teçhizat ve hizmet alımı giderlerine ait proforma faturaların </w:t>
      </w:r>
      <w:r w:rsidR="00475940" w:rsidRPr="009B7358">
        <w:t xml:space="preserve">sunulması </w:t>
      </w:r>
      <w:r w:rsidRPr="009B7358">
        <w:t>gerekmektedir. (Sarf malzemeler için proforma faturaya gerek yoktur</w:t>
      </w:r>
      <w:r w:rsidR="00475940" w:rsidRPr="009B7358">
        <w:t>.</w:t>
      </w:r>
      <w:r w:rsidRPr="009B7358">
        <w:t>)</w:t>
      </w:r>
    </w:p>
    <w:p w14:paraId="6744BE31" w14:textId="77777777" w:rsidR="0043456E" w:rsidRDefault="0043456E" w:rsidP="00E4534B">
      <w:pPr>
        <w:pStyle w:val="BodyText"/>
        <w:spacing w:line="360" w:lineRule="auto"/>
        <w:ind w:left="993" w:right="120" w:firstLine="0"/>
      </w:pPr>
    </w:p>
    <w:p w14:paraId="1B830803" w14:textId="25F0FED3" w:rsidR="0043456E" w:rsidRPr="0043456E" w:rsidRDefault="0043456E" w:rsidP="00E4534B">
      <w:pPr>
        <w:pStyle w:val="BodyText"/>
        <w:spacing w:line="360" w:lineRule="auto"/>
        <w:ind w:left="993" w:right="120" w:firstLine="0"/>
        <w:rPr>
          <w:sz w:val="18"/>
          <w:szCs w:val="18"/>
        </w:rPr>
      </w:pPr>
    </w:p>
    <w:p w14:paraId="24E0BD15" w14:textId="239A05EB" w:rsidR="0043456E" w:rsidRPr="0043456E" w:rsidRDefault="0043456E" w:rsidP="00E4534B">
      <w:pPr>
        <w:pStyle w:val="BodyText"/>
        <w:spacing w:line="360" w:lineRule="auto"/>
        <w:ind w:left="993" w:right="120" w:firstLine="0"/>
        <w:rPr>
          <w:sz w:val="18"/>
          <w:szCs w:val="18"/>
        </w:rPr>
      </w:pPr>
      <w:r w:rsidRPr="0043456E">
        <w:rPr>
          <w:sz w:val="18"/>
          <w:szCs w:val="18"/>
        </w:rPr>
        <w:t>(</w:t>
      </w:r>
      <w:r w:rsidRPr="0043456E">
        <w:rPr>
          <w:sz w:val="18"/>
          <w:szCs w:val="18"/>
        </w:rPr>
        <w:t xml:space="preserve">*) Ön değerlendirme aşamasında kontrol edilen hususların eksikliği halinde, proje bilimsel değerlendirmeye alınmadan iade edilmektedir. </w:t>
      </w:r>
    </w:p>
    <w:p w14:paraId="296CB547" w14:textId="28D7291F" w:rsidR="0043456E" w:rsidRPr="0043456E" w:rsidRDefault="00817281" w:rsidP="00E4534B">
      <w:pPr>
        <w:pStyle w:val="BodyText"/>
        <w:spacing w:line="360" w:lineRule="auto"/>
        <w:ind w:left="993" w:right="120" w:firstLine="0"/>
        <w:rPr>
          <w:sz w:val="18"/>
          <w:szCs w:val="18"/>
        </w:rPr>
      </w:pPr>
      <w:r w:rsidRPr="0043456E">
        <w:rPr>
          <w:sz w:val="18"/>
          <w:szCs w:val="18"/>
        </w:rPr>
        <w:t xml:space="preserve"> </w:t>
      </w:r>
      <w:r>
        <w:rPr>
          <w:sz w:val="18"/>
          <w:szCs w:val="18"/>
        </w:rPr>
        <w:t>(*</w:t>
      </w:r>
      <w:r w:rsidR="0043456E" w:rsidRPr="0043456E">
        <w:rPr>
          <w:sz w:val="18"/>
          <w:szCs w:val="18"/>
        </w:rPr>
        <w:t>*) Projenin desteklenmesine karar verildikten sonra talep edilen belgelerin belirtilen sürede sunulmaması halinde projenin destek kararı iptal edilmektedir.</w:t>
      </w:r>
    </w:p>
    <w:sectPr w:rsidR="0043456E" w:rsidRPr="0043456E">
      <w:footerReference w:type="default" r:id="rId8"/>
      <w:pgSz w:w="11910" w:h="16840"/>
      <w:pgMar w:top="1180" w:right="1300" w:bottom="780" w:left="1240" w:header="0" w:footer="5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B5F44" w14:textId="77777777" w:rsidR="00E07EAF" w:rsidRDefault="00E07EAF">
      <w:r>
        <w:separator/>
      </w:r>
    </w:p>
  </w:endnote>
  <w:endnote w:type="continuationSeparator" w:id="0">
    <w:p w14:paraId="4C986F34" w14:textId="77777777" w:rsidR="00E07EAF" w:rsidRDefault="00E0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F024" w14:textId="77777777" w:rsidR="0007079B" w:rsidRDefault="00762111">
    <w:pPr>
      <w:pStyle w:val="BodyText"/>
      <w:spacing w:line="14" w:lineRule="auto"/>
      <w:ind w:left="0" w:firstLine="0"/>
      <w:jc w:val="left"/>
      <w:rPr>
        <w:sz w:val="20"/>
      </w:rPr>
    </w:pPr>
    <w:r>
      <w:rPr>
        <w:noProof/>
        <w:lang w:eastAsia="tr-TR"/>
      </w:rPr>
      <mc:AlternateContent>
        <mc:Choice Requires="wps">
          <w:drawing>
            <wp:anchor distT="0" distB="0" distL="114300" distR="114300" simplePos="0" relativeHeight="251657728" behindDoc="1" locked="0" layoutInCell="1" allowOverlap="1" wp14:anchorId="5E7358FD" wp14:editId="0A29D5AE">
              <wp:simplePos x="0" y="0"/>
              <wp:positionH relativeFrom="page">
                <wp:posOffset>3707130</wp:posOffset>
              </wp:positionH>
              <wp:positionV relativeFrom="page">
                <wp:posOffset>10176510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207A7" w14:textId="6379FD33" w:rsidR="0007079B" w:rsidRDefault="00F93CF2">
                          <w:pPr>
                            <w:spacing w:line="245" w:lineRule="exact"/>
                            <w:ind w:left="60"/>
                            <w:rPr>
                              <w:rFonts w:ascii="Carlito"/>
                            </w:rPr>
                          </w:pPr>
                          <w:r>
                            <w:fldChar w:fldCharType="begin"/>
                          </w:r>
                          <w:r>
                            <w:rPr>
                              <w:rFonts w:ascii="Carlito"/>
                            </w:rPr>
                            <w:instrText xml:space="preserve"> PAGE </w:instrText>
                          </w:r>
                          <w:r>
                            <w:fldChar w:fldCharType="separate"/>
                          </w:r>
                          <w:r w:rsidR="00817281">
                            <w:rPr>
                              <w:rFonts w:ascii="Carlito"/>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358FD" id="_x0000_t202" coordsize="21600,21600" o:spt="202" path="m,l,21600r21600,l21600,xe">
              <v:stroke joinstyle="miter"/>
              <v:path gradientshapeok="t" o:connecttype="rect"/>
            </v:shapetype>
            <v:shape id="Text Box 1" o:spid="_x0000_s1026" type="#_x0000_t202" style="position:absolute;margin-left:291.9pt;margin-top:801.3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" filled="f" stroked="f">
              <v:textbox inset="0,0,0,0">
                <w:txbxContent>
                  <w:p w14:paraId="761207A7" w14:textId="6379FD33" w:rsidR="0007079B" w:rsidRDefault="00F93CF2">
                    <w:pPr>
                      <w:spacing w:line="245" w:lineRule="exact"/>
                      <w:ind w:left="60"/>
                      <w:rPr>
                        <w:rFonts w:ascii="Carlito"/>
                      </w:rPr>
                    </w:pPr>
                    <w:r>
                      <w:fldChar w:fldCharType="begin"/>
                    </w:r>
                    <w:r>
                      <w:rPr>
                        <w:rFonts w:ascii="Carlito"/>
                      </w:rPr>
                      <w:instrText xml:space="preserve"> PAGE </w:instrText>
                    </w:r>
                    <w:r>
                      <w:fldChar w:fldCharType="separate"/>
                    </w:r>
                    <w:r w:rsidR="00817281">
                      <w:rPr>
                        <w:rFonts w:ascii="Carlito"/>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9F1ED" w14:textId="77777777" w:rsidR="00E07EAF" w:rsidRDefault="00E07EAF">
      <w:r>
        <w:separator/>
      </w:r>
    </w:p>
  </w:footnote>
  <w:footnote w:type="continuationSeparator" w:id="0">
    <w:p w14:paraId="4A03C295" w14:textId="77777777" w:rsidR="00E07EAF" w:rsidRDefault="00E07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5A5B"/>
    <w:multiLevelType w:val="hybridMultilevel"/>
    <w:tmpl w:val="D766F2DA"/>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1BFB32FF"/>
    <w:multiLevelType w:val="hybridMultilevel"/>
    <w:tmpl w:val="4A0892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7F5534"/>
    <w:multiLevelType w:val="hybridMultilevel"/>
    <w:tmpl w:val="CBB45B28"/>
    <w:lvl w:ilvl="0" w:tplc="777C7574">
      <w:numFmt w:val="bullet"/>
      <w:lvlText w:val=""/>
      <w:lvlJc w:val="left"/>
      <w:pPr>
        <w:ind w:left="1208" w:hanging="425"/>
      </w:pPr>
      <w:rPr>
        <w:rFonts w:ascii="Symbol" w:eastAsia="Symbol" w:hAnsi="Symbol" w:cs="Symbol" w:hint="default"/>
        <w:w w:val="100"/>
        <w:sz w:val="24"/>
        <w:szCs w:val="24"/>
        <w:lang w:val="tr-TR" w:eastAsia="en-US" w:bidi="ar-SA"/>
      </w:rPr>
    </w:lvl>
    <w:lvl w:ilvl="1" w:tplc="041F0003" w:tentative="1">
      <w:start w:val="1"/>
      <w:numFmt w:val="bullet"/>
      <w:lvlText w:val="o"/>
      <w:lvlJc w:val="left"/>
      <w:pPr>
        <w:ind w:left="1618" w:hanging="360"/>
      </w:pPr>
      <w:rPr>
        <w:rFonts w:ascii="Courier New" w:hAnsi="Courier New" w:cs="Courier New" w:hint="default"/>
      </w:rPr>
    </w:lvl>
    <w:lvl w:ilvl="2" w:tplc="041F0005" w:tentative="1">
      <w:start w:val="1"/>
      <w:numFmt w:val="bullet"/>
      <w:lvlText w:val=""/>
      <w:lvlJc w:val="left"/>
      <w:pPr>
        <w:ind w:left="2338" w:hanging="360"/>
      </w:pPr>
      <w:rPr>
        <w:rFonts w:ascii="Wingdings" w:hAnsi="Wingdings" w:hint="default"/>
      </w:rPr>
    </w:lvl>
    <w:lvl w:ilvl="3" w:tplc="041F0001" w:tentative="1">
      <w:start w:val="1"/>
      <w:numFmt w:val="bullet"/>
      <w:lvlText w:val=""/>
      <w:lvlJc w:val="left"/>
      <w:pPr>
        <w:ind w:left="3058" w:hanging="360"/>
      </w:pPr>
      <w:rPr>
        <w:rFonts w:ascii="Symbol" w:hAnsi="Symbol" w:hint="default"/>
      </w:rPr>
    </w:lvl>
    <w:lvl w:ilvl="4" w:tplc="041F0003" w:tentative="1">
      <w:start w:val="1"/>
      <w:numFmt w:val="bullet"/>
      <w:lvlText w:val="o"/>
      <w:lvlJc w:val="left"/>
      <w:pPr>
        <w:ind w:left="3778" w:hanging="360"/>
      </w:pPr>
      <w:rPr>
        <w:rFonts w:ascii="Courier New" w:hAnsi="Courier New" w:cs="Courier New" w:hint="default"/>
      </w:rPr>
    </w:lvl>
    <w:lvl w:ilvl="5" w:tplc="041F0005" w:tentative="1">
      <w:start w:val="1"/>
      <w:numFmt w:val="bullet"/>
      <w:lvlText w:val=""/>
      <w:lvlJc w:val="left"/>
      <w:pPr>
        <w:ind w:left="4498" w:hanging="360"/>
      </w:pPr>
      <w:rPr>
        <w:rFonts w:ascii="Wingdings" w:hAnsi="Wingdings" w:hint="default"/>
      </w:rPr>
    </w:lvl>
    <w:lvl w:ilvl="6" w:tplc="041F0001" w:tentative="1">
      <w:start w:val="1"/>
      <w:numFmt w:val="bullet"/>
      <w:lvlText w:val=""/>
      <w:lvlJc w:val="left"/>
      <w:pPr>
        <w:ind w:left="5218" w:hanging="360"/>
      </w:pPr>
      <w:rPr>
        <w:rFonts w:ascii="Symbol" w:hAnsi="Symbol" w:hint="default"/>
      </w:rPr>
    </w:lvl>
    <w:lvl w:ilvl="7" w:tplc="041F0003" w:tentative="1">
      <w:start w:val="1"/>
      <w:numFmt w:val="bullet"/>
      <w:lvlText w:val="o"/>
      <w:lvlJc w:val="left"/>
      <w:pPr>
        <w:ind w:left="5938" w:hanging="360"/>
      </w:pPr>
      <w:rPr>
        <w:rFonts w:ascii="Courier New" w:hAnsi="Courier New" w:cs="Courier New" w:hint="default"/>
      </w:rPr>
    </w:lvl>
    <w:lvl w:ilvl="8" w:tplc="041F0005" w:tentative="1">
      <w:start w:val="1"/>
      <w:numFmt w:val="bullet"/>
      <w:lvlText w:val=""/>
      <w:lvlJc w:val="left"/>
      <w:pPr>
        <w:ind w:left="6658" w:hanging="360"/>
      </w:pPr>
      <w:rPr>
        <w:rFonts w:ascii="Wingdings" w:hAnsi="Wingdings" w:hint="default"/>
      </w:rPr>
    </w:lvl>
  </w:abstractNum>
  <w:abstractNum w:abstractNumId="3" w15:restartNumberingAfterBreak="0">
    <w:nsid w:val="4403778D"/>
    <w:multiLevelType w:val="hybridMultilevel"/>
    <w:tmpl w:val="43C430BC"/>
    <w:lvl w:ilvl="0" w:tplc="B02E731C">
      <w:numFmt w:val="bullet"/>
      <w:lvlText w:val=""/>
      <w:lvlJc w:val="left"/>
      <w:pPr>
        <w:ind w:left="538" w:hanging="360"/>
      </w:pPr>
      <w:rPr>
        <w:rFonts w:hint="default"/>
        <w:w w:val="100"/>
        <w:lang w:val="tr-TR" w:eastAsia="en-US" w:bidi="ar-SA"/>
      </w:rPr>
    </w:lvl>
    <w:lvl w:ilvl="1" w:tplc="777C7574">
      <w:numFmt w:val="bullet"/>
      <w:lvlText w:val=""/>
      <w:lvlJc w:val="left"/>
      <w:pPr>
        <w:ind w:left="1030" w:hanging="425"/>
      </w:pPr>
      <w:rPr>
        <w:rFonts w:ascii="Symbol" w:eastAsia="Symbol" w:hAnsi="Symbol" w:cs="Symbol" w:hint="default"/>
        <w:w w:val="100"/>
        <w:sz w:val="24"/>
        <w:szCs w:val="24"/>
        <w:lang w:val="tr-TR" w:eastAsia="en-US" w:bidi="ar-SA"/>
      </w:rPr>
    </w:lvl>
    <w:lvl w:ilvl="2" w:tplc="5B2899EA">
      <w:numFmt w:val="bullet"/>
      <w:lvlText w:val="•"/>
      <w:lvlJc w:val="left"/>
      <w:pPr>
        <w:ind w:left="1965" w:hanging="425"/>
      </w:pPr>
      <w:rPr>
        <w:rFonts w:hint="default"/>
        <w:lang w:val="tr-TR" w:eastAsia="en-US" w:bidi="ar-SA"/>
      </w:rPr>
    </w:lvl>
    <w:lvl w:ilvl="3" w:tplc="41B63A96">
      <w:numFmt w:val="bullet"/>
      <w:lvlText w:val="•"/>
      <w:lvlJc w:val="left"/>
      <w:pPr>
        <w:ind w:left="2890" w:hanging="425"/>
      </w:pPr>
      <w:rPr>
        <w:rFonts w:hint="default"/>
        <w:lang w:val="tr-TR" w:eastAsia="en-US" w:bidi="ar-SA"/>
      </w:rPr>
    </w:lvl>
    <w:lvl w:ilvl="4" w:tplc="0908B204">
      <w:numFmt w:val="bullet"/>
      <w:lvlText w:val="•"/>
      <w:lvlJc w:val="left"/>
      <w:pPr>
        <w:ind w:left="3815" w:hanging="425"/>
      </w:pPr>
      <w:rPr>
        <w:rFonts w:hint="default"/>
        <w:lang w:val="tr-TR" w:eastAsia="en-US" w:bidi="ar-SA"/>
      </w:rPr>
    </w:lvl>
    <w:lvl w:ilvl="5" w:tplc="DF1CD61C">
      <w:numFmt w:val="bullet"/>
      <w:lvlText w:val="•"/>
      <w:lvlJc w:val="left"/>
      <w:pPr>
        <w:ind w:left="4740" w:hanging="425"/>
      </w:pPr>
      <w:rPr>
        <w:rFonts w:hint="default"/>
        <w:lang w:val="tr-TR" w:eastAsia="en-US" w:bidi="ar-SA"/>
      </w:rPr>
    </w:lvl>
    <w:lvl w:ilvl="6" w:tplc="7C4CEDF8">
      <w:numFmt w:val="bullet"/>
      <w:lvlText w:val="•"/>
      <w:lvlJc w:val="left"/>
      <w:pPr>
        <w:ind w:left="5665" w:hanging="425"/>
      </w:pPr>
      <w:rPr>
        <w:rFonts w:hint="default"/>
        <w:lang w:val="tr-TR" w:eastAsia="en-US" w:bidi="ar-SA"/>
      </w:rPr>
    </w:lvl>
    <w:lvl w:ilvl="7" w:tplc="0388B00E">
      <w:numFmt w:val="bullet"/>
      <w:lvlText w:val="•"/>
      <w:lvlJc w:val="left"/>
      <w:pPr>
        <w:ind w:left="6590" w:hanging="425"/>
      </w:pPr>
      <w:rPr>
        <w:rFonts w:hint="default"/>
        <w:lang w:val="tr-TR" w:eastAsia="en-US" w:bidi="ar-SA"/>
      </w:rPr>
    </w:lvl>
    <w:lvl w:ilvl="8" w:tplc="9F62DE8A">
      <w:numFmt w:val="bullet"/>
      <w:lvlText w:val="•"/>
      <w:lvlJc w:val="left"/>
      <w:pPr>
        <w:ind w:left="7516" w:hanging="425"/>
      </w:pPr>
      <w:rPr>
        <w:rFonts w:hint="default"/>
        <w:lang w:val="tr-TR" w:eastAsia="en-US" w:bidi="ar-SA"/>
      </w:rPr>
    </w:lvl>
  </w:abstractNum>
  <w:abstractNum w:abstractNumId="4" w15:restartNumberingAfterBreak="0">
    <w:nsid w:val="6EF44372"/>
    <w:multiLevelType w:val="hybridMultilevel"/>
    <w:tmpl w:val="83BEA8B6"/>
    <w:lvl w:ilvl="0" w:tplc="C298C404">
      <w:numFmt w:val="bullet"/>
      <w:lvlText w:val=""/>
      <w:lvlJc w:val="left"/>
      <w:pPr>
        <w:ind w:left="838" w:hanging="360"/>
      </w:pPr>
      <w:rPr>
        <w:rFonts w:ascii="Symbol" w:eastAsia="Symbol" w:hAnsi="Symbol" w:cs="Symbol" w:hint="default"/>
        <w:w w:val="100"/>
        <w:sz w:val="24"/>
        <w:szCs w:val="24"/>
        <w:lang w:val="tr-TR" w:eastAsia="en-US" w:bidi="ar-SA"/>
      </w:rPr>
    </w:lvl>
    <w:lvl w:ilvl="1" w:tplc="403A75F4">
      <w:numFmt w:val="bullet"/>
      <w:lvlText w:val="•"/>
      <w:lvlJc w:val="left"/>
      <w:pPr>
        <w:ind w:left="1686" w:hanging="360"/>
      </w:pPr>
      <w:rPr>
        <w:rFonts w:hint="default"/>
        <w:lang w:val="tr-TR" w:eastAsia="en-US" w:bidi="ar-SA"/>
      </w:rPr>
    </w:lvl>
    <w:lvl w:ilvl="2" w:tplc="821E3AC8">
      <w:numFmt w:val="bullet"/>
      <w:lvlText w:val="•"/>
      <w:lvlJc w:val="left"/>
      <w:pPr>
        <w:ind w:left="2533" w:hanging="360"/>
      </w:pPr>
      <w:rPr>
        <w:rFonts w:hint="default"/>
        <w:lang w:val="tr-TR" w:eastAsia="en-US" w:bidi="ar-SA"/>
      </w:rPr>
    </w:lvl>
    <w:lvl w:ilvl="3" w:tplc="8F16C744">
      <w:numFmt w:val="bullet"/>
      <w:lvlText w:val="•"/>
      <w:lvlJc w:val="left"/>
      <w:pPr>
        <w:ind w:left="3379" w:hanging="360"/>
      </w:pPr>
      <w:rPr>
        <w:rFonts w:hint="default"/>
        <w:lang w:val="tr-TR" w:eastAsia="en-US" w:bidi="ar-SA"/>
      </w:rPr>
    </w:lvl>
    <w:lvl w:ilvl="4" w:tplc="1FEA9CAE">
      <w:numFmt w:val="bullet"/>
      <w:lvlText w:val="•"/>
      <w:lvlJc w:val="left"/>
      <w:pPr>
        <w:ind w:left="4226" w:hanging="360"/>
      </w:pPr>
      <w:rPr>
        <w:rFonts w:hint="default"/>
        <w:lang w:val="tr-TR" w:eastAsia="en-US" w:bidi="ar-SA"/>
      </w:rPr>
    </w:lvl>
    <w:lvl w:ilvl="5" w:tplc="56846AE0">
      <w:numFmt w:val="bullet"/>
      <w:lvlText w:val="•"/>
      <w:lvlJc w:val="left"/>
      <w:pPr>
        <w:ind w:left="5073" w:hanging="360"/>
      </w:pPr>
      <w:rPr>
        <w:rFonts w:hint="default"/>
        <w:lang w:val="tr-TR" w:eastAsia="en-US" w:bidi="ar-SA"/>
      </w:rPr>
    </w:lvl>
    <w:lvl w:ilvl="6" w:tplc="812865A8">
      <w:numFmt w:val="bullet"/>
      <w:lvlText w:val="•"/>
      <w:lvlJc w:val="left"/>
      <w:pPr>
        <w:ind w:left="5919" w:hanging="360"/>
      </w:pPr>
      <w:rPr>
        <w:rFonts w:hint="default"/>
        <w:lang w:val="tr-TR" w:eastAsia="en-US" w:bidi="ar-SA"/>
      </w:rPr>
    </w:lvl>
    <w:lvl w:ilvl="7" w:tplc="782C988C">
      <w:numFmt w:val="bullet"/>
      <w:lvlText w:val="•"/>
      <w:lvlJc w:val="left"/>
      <w:pPr>
        <w:ind w:left="6766" w:hanging="360"/>
      </w:pPr>
      <w:rPr>
        <w:rFonts w:hint="default"/>
        <w:lang w:val="tr-TR" w:eastAsia="en-US" w:bidi="ar-SA"/>
      </w:rPr>
    </w:lvl>
    <w:lvl w:ilvl="8" w:tplc="9792641A">
      <w:numFmt w:val="bullet"/>
      <w:lvlText w:val="•"/>
      <w:lvlJc w:val="left"/>
      <w:pPr>
        <w:ind w:left="7613" w:hanging="360"/>
      </w:pPr>
      <w:rPr>
        <w:rFonts w:hint="default"/>
        <w:lang w:val="tr-TR" w:eastAsia="en-US" w:bidi="ar-S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9B"/>
    <w:rsid w:val="00041855"/>
    <w:rsid w:val="00044A9A"/>
    <w:rsid w:val="00066B27"/>
    <w:rsid w:val="0007079B"/>
    <w:rsid w:val="00105954"/>
    <w:rsid w:val="003E3FA9"/>
    <w:rsid w:val="0043456E"/>
    <w:rsid w:val="004741ED"/>
    <w:rsid w:val="00475940"/>
    <w:rsid w:val="0049209D"/>
    <w:rsid w:val="00625B14"/>
    <w:rsid w:val="00681D7A"/>
    <w:rsid w:val="006A5FC8"/>
    <w:rsid w:val="00731DA6"/>
    <w:rsid w:val="00762111"/>
    <w:rsid w:val="007F6EC0"/>
    <w:rsid w:val="0081159A"/>
    <w:rsid w:val="00816BF1"/>
    <w:rsid w:val="00817281"/>
    <w:rsid w:val="008200A7"/>
    <w:rsid w:val="008E1857"/>
    <w:rsid w:val="009B7358"/>
    <w:rsid w:val="00A51DD6"/>
    <w:rsid w:val="00A542AD"/>
    <w:rsid w:val="00C6571A"/>
    <w:rsid w:val="00E07EAF"/>
    <w:rsid w:val="00E4534B"/>
    <w:rsid w:val="00EC0BFA"/>
    <w:rsid w:val="00EC6261"/>
    <w:rsid w:val="00F93A34"/>
    <w:rsid w:val="00F93C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C84CD2"/>
  <w15:docId w15:val="{24786AA5-CE78-47C2-B51E-8DD154E6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Heading1">
    <w:name w:val="heading 1"/>
    <w:basedOn w:val="Normal"/>
    <w:uiPriority w:val="1"/>
    <w:qFormat/>
    <w:pPr>
      <w:spacing w:before="76"/>
      <w:ind w:left="178" w:right="113"/>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8" w:hanging="425"/>
      <w:jc w:val="both"/>
    </w:pPr>
    <w:rPr>
      <w:sz w:val="24"/>
      <w:szCs w:val="24"/>
    </w:rPr>
  </w:style>
  <w:style w:type="paragraph" w:styleId="ListParagraph">
    <w:name w:val="List Paragraph"/>
    <w:basedOn w:val="Normal"/>
    <w:uiPriority w:val="1"/>
    <w:qFormat/>
    <w:pPr>
      <w:spacing w:before="5"/>
      <w:ind w:left="538" w:right="114" w:hanging="425"/>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16BF1"/>
    <w:rPr>
      <w:sz w:val="16"/>
      <w:szCs w:val="16"/>
    </w:rPr>
  </w:style>
  <w:style w:type="paragraph" w:styleId="CommentText">
    <w:name w:val="annotation text"/>
    <w:basedOn w:val="Normal"/>
    <w:link w:val="CommentTextChar"/>
    <w:uiPriority w:val="99"/>
    <w:semiHidden/>
    <w:unhideWhenUsed/>
    <w:rsid w:val="00816BF1"/>
    <w:rPr>
      <w:sz w:val="20"/>
      <w:szCs w:val="20"/>
    </w:rPr>
  </w:style>
  <w:style w:type="character" w:customStyle="1" w:styleId="CommentTextChar">
    <w:name w:val="Comment Text Char"/>
    <w:basedOn w:val="DefaultParagraphFont"/>
    <w:link w:val="CommentText"/>
    <w:uiPriority w:val="99"/>
    <w:semiHidden/>
    <w:rsid w:val="00816BF1"/>
    <w:rPr>
      <w:rFonts w:ascii="Arial" w:eastAsia="Arial" w:hAnsi="Arial" w:cs="Arial"/>
      <w:sz w:val="20"/>
      <w:szCs w:val="20"/>
      <w:lang w:val="tr-TR"/>
    </w:rPr>
  </w:style>
  <w:style w:type="paragraph" w:styleId="CommentSubject">
    <w:name w:val="annotation subject"/>
    <w:basedOn w:val="CommentText"/>
    <w:next w:val="CommentText"/>
    <w:link w:val="CommentSubjectChar"/>
    <w:uiPriority w:val="99"/>
    <w:semiHidden/>
    <w:unhideWhenUsed/>
    <w:rsid w:val="00816BF1"/>
    <w:rPr>
      <w:b/>
      <w:bCs/>
    </w:rPr>
  </w:style>
  <w:style w:type="character" w:customStyle="1" w:styleId="CommentSubjectChar">
    <w:name w:val="Comment Subject Char"/>
    <w:basedOn w:val="CommentTextChar"/>
    <w:link w:val="CommentSubject"/>
    <w:uiPriority w:val="99"/>
    <w:semiHidden/>
    <w:rsid w:val="00816BF1"/>
    <w:rPr>
      <w:rFonts w:ascii="Arial" w:eastAsia="Arial" w:hAnsi="Arial" w:cs="Arial"/>
      <w:b/>
      <w:bCs/>
      <w:sz w:val="20"/>
      <w:szCs w:val="20"/>
      <w:lang w:val="tr-TR"/>
    </w:rPr>
  </w:style>
  <w:style w:type="paragraph" w:styleId="BalloonText">
    <w:name w:val="Balloon Text"/>
    <w:basedOn w:val="Normal"/>
    <w:link w:val="BalloonTextChar"/>
    <w:uiPriority w:val="99"/>
    <w:semiHidden/>
    <w:unhideWhenUsed/>
    <w:rsid w:val="00816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BF1"/>
    <w:rPr>
      <w:rFonts w:ascii="Segoe UI" w:eastAsia="Arial" w:hAnsi="Segoe UI" w:cs="Segoe UI"/>
      <w:sz w:val="18"/>
      <w:szCs w:val="18"/>
      <w:lang w:val="tr-TR"/>
    </w:rPr>
  </w:style>
  <w:style w:type="character" w:styleId="Hyperlink">
    <w:name w:val="Hyperlink"/>
    <w:basedOn w:val="DefaultParagraphFont"/>
    <w:uiPriority w:val="99"/>
    <w:semiHidden/>
    <w:unhideWhenUsed/>
    <w:rsid w:val="003E3FA9"/>
    <w:rPr>
      <w:color w:val="0062A0"/>
      <w:sz w:val="24"/>
      <w:szCs w:val="24"/>
      <w:u w:val="single"/>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ubitak.gov.tr/tr/icerik-kimler-basvurabilir-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hamdikurtcebe aksu</dc:creator>
  <cp:lastModifiedBy>ARDEB-DEİK</cp:lastModifiedBy>
  <cp:revision>2</cp:revision>
  <dcterms:created xsi:type="dcterms:W3CDTF">2025-05-12T14:35:00Z</dcterms:created>
  <dcterms:modified xsi:type="dcterms:W3CDTF">2025-05-12T14:35:00Z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Word 2016</vt:lpwstr>
  </property>
  <property fmtid="{D5CDD505-2E9C-101B-9397-08002B2CF9AE}" pid="4" name="LastSaved">
    <vt:filetime>2020-04-08T00:00:00Z</vt:filetime>
  </property>
</Properties>
</file>