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BDAA6" w14:textId="77777777" w:rsidR="00265101" w:rsidRPr="002606DA" w:rsidRDefault="005D00CD" w:rsidP="00265101">
      <w:pPr>
        <w:spacing w:before="44"/>
        <w:ind w:left="2275" w:right="2275"/>
        <w:jc w:val="center"/>
        <w:rPr>
          <w:b/>
          <w:sz w:val="24"/>
        </w:rPr>
      </w:pPr>
      <w:r w:rsidRPr="002606DA">
        <w:rPr>
          <w:b/>
          <w:sz w:val="24"/>
        </w:rPr>
        <w:t>T</w:t>
      </w:r>
      <w:bookmarkStart w:id="0" w:name="_GoBack"/>
      <w:bookmarkEnd w:id="0"/>
      <w:r w:rsidRPr="002606DA">
        <w:rPr>
          <w:b/>
          <w:sz w:val="24"/>
        </w:rPr>
        <w:t xml:space="preserve">he Scientific and Technological </w:t>
      </w:r>
    </w:p>
    <w:p w14:paraId="1EBFC88E" w14:textId="77777777" w:rsidR="00B3517E" w:rsidRPr="002606DA" w:rsidRDefault="005D00CD" w:rsidP="00265101">
      <w:pPr>
        <w:spacing w:before="44"/>
        <w:ind w:left="2275" w:right="2275"/>
        <w:jc w:val="center"/>
        <w:rPr>
          <w:b/>
          <w:sz w:val="24"/>
        </w:rPr>
      </w:pPr>
      <w:r w:rsidRPr="002606DA">
        <w:rPr>
          <w:b/>
          <w:sz w:val="24"/>
        </w:rPr>
        <w:t xml:space="preserve">Research Council of Türkiye </w:t>
      </w:r>
      <w:r w:rsidR="00B3517E" w:rsidRPr="002606DA">
        <w:rPr>
          <w:b/>
          <w:sz w:val="24"/>
        </w:rPr>
        <w:t>(TÜBİTAK)</w:t>
      </w:r>
    </w:p>
    <w:p w14:paraId="3E7DB68C" w14:textId="77777777" w:rsidR="00DE1AF0" w:rsidRPr="002606DA" w:rsidRDefault="005D00CD" w:rsidP="00265101">
      <w:pPr>
        <w:spacing w:before="44"/>
        <w:ind w:left="2275" w:right="2275"/>
        <w:jc w:val="center"/>
        <w:rPr>
          <w:b/>
        </w:rPr>
      </w:pPr>
      <w:r w:rsidRPr="002606DA">
        <w:rPr>
          <w:b/>
          <w:sz w:val="24"/>
        </w:rPr>
        <w:t xml:space="preserve">Project Implementation Unit </w:t>
      </w:r>
      <w:r w:rsidR="00A73242" w:rsidRPr="002606DA">
        <w:rPr>
          <w:b/>
          <w:sz w:val="24"/>
        </w:rPr>
        <w:t xml:space="preserve">(PIU) </w:t>
      </w:r>
      <w:r w:rsidRPr="002606DA">
        <w:rPr>
          <w:b/>
          <w:sz w:val="24"/>
        </w:rPr>
        <w:t xml:space="preserve">for the </w:t>
      </w:r>
      <w:r w:rsidR="00DD266E" w:rsidRPr="002606DA">
        <w:rPr>
          <w:b/>
          <w:sz w:val="24"/>
        </w:rPr>
        <w:t>TÜRKİYE GREEN INDUSTRY PROJECT</w:t>
      </w:r>
    </w:p>
    <w:p w14:paraId="77D0E3DC" w14:textId="77777777" w:rsidR="00DE1AF0" w:rsidRPr="002606DA" w:rsidRDefault="00DE1AF0">
      <w:pPr>
        <w:pStyle w:val="GvdeMetni"/>
        <w:spacing w:before="82"/>
        <w:rPr>
          <w:b/>
        </w:rPr>
      </w:pPr>
    </w:p>
    <w:p w14:paraId="23C2684F" w14:textId="77777777" w:rsidR="00265101" w:rsidRPr="002606DA" w:rsidRDefault="00265101">
      <w:pPr>
        <w:pStyle w:val="GvdeMetni"/>
        <w:spacing w:before="82"/>
        <w:rPr>
          <w:b/>
        </w:rPr>
      </w:pPr>
    </w:p>
    <w:p w14:paraId="74285C10" w14:textId="31C45EFE" w:rsidR="00DE1AF0" w:rsidRPr="002606DA" w:rsidRDefault="001304A9" w:rsidP="00186B17">
      <w:pPr>
        <w:pStyle w:val="Balk1"/>
        <w:spacing w:line="276" w:lineRule="auto"/>
        <w:ind w:left="2694" w:right="1631" w:firstLine="378"/>
      </w:pPr>
      <w:r w:rsidRPr="002606DA">
        <w:t>TERMS OF REFERENCE    ENVIRO</w:t>
      </w:r>
      <w:r w:rsidR="00BF2996">
        <w:t>N</w:t>
      </w:r>
      <w:r w:rsidRPr="002606DA">
        <w:t>MENTAL</w:t>
      </w:r>
      <w:r w:rsidR="00A73242" w:rsidRPr="002606DA">
        <w:rPr>
          <w:spacing w:val="-11"/>
        </w:rPr>
        <w:t xml:space="preserve"> </w:t>
      </w:r>
      <w:r w:rsidR="001B32AC">
        <w:t>CONSULTANT</w:t>
      </w:r>
    </w:p>
    <w:p w14:paraId="4B60C8F3" w14:textId="243A39F8" w:rsidR="00DE1AF0" w:rsidRPr="009D6837" w:rsidRDefault="00186B17" w:rsidP="00186B17">
      <w:pPr>
        <w:pStyle w:val="Balk2"/>
        <w:spacing w:before="1"/>
        <w:ind w:left="2694"/>
      </w:pPr>
      <w:r>
        <w:t xml:space="preserve">   </w:t>
      </w:r>
      <w:r w:rsidR="00A73242" w:rsidRPr="009D6837">
        <w:t>(Ref:</w:t>
      </w:r>
      <w:r w:rsidR="00A73242" w:rsidRPr="009D6837">
        <w:rPr>
          <w:spacing w:val="-4"/>
        </w:rPr>
        <w:t xml:space="preserve"> </w:t>
      </w:r>
      <w:r w:rsidR="005A790C" w:rsidRPr="009D6837">
        <w:t>TÜBİTAK</w:t>
      </w:r>
      <w:r w:rsidR="00A73242" w:rsidRPr="009D6837">
        <w:rPr>
          <w:spacing w:val="-2"/>
        </w:rPr>
        <w:t xml:space="preserve"> </w:t>
      </w:r>
      <w:r w:rsidR="005A790C" w:rsidRPr="009D6837">
        <w:t>CS-INDV-</w:t>
      </w:r>
      <w:r w:rsidR="00B87CE4">
        <w:t>N</w:t>
      </w:r>
      <w:r w:rsidR="007C7130">
        <w:t>16</w:t>
      </w:r>
      <w:r w:rsidR="00A73242" w:rsidRPr="009D6837">
        <w:rPr>
          <w:spacing w:val="-5"/>
        </w:rPr>
        <w:t>)</w:t>
      </w:r>
    </w:p>
    <w:p w14:paraId="5B09E4EC" w14:textId="77777777" w:rsidR="00DE1AF0" w:rsidRPr="009D6837" w:rsidRDefault="00DE1AF0">
      <w:pPr>
        <w:pStyle w:val="GvdeMetni"/>
        <w:rPr>
          <w:b/>
        </w:rPr>
      </w:pPr>
    </w:p>
    <w:p w14:paraId="25A018FD" w14:textId="77777777" w:rsidR="00DE1AF0" w:rsidRPr="009D6837" w:rsidRDefault="00DE1AF0">
      <w:pPr>
        <w:pStyle w:val="GvdeMetni"/>
        <w:spacing w:before="118"/>
        <w:rPr>
          <w:b/>
        </w:rPr>
      </w:pPr>
    </w:p>
    <w:p w14:paraId="09EB60EE" w14:textId="77777777" w:rsidR="00DE1AF0" w:rsidRPr="009D6837" w:rsidRDefault="00A73242">
      <w:pPr>
        <w:ind w:left="116"/>
        <w:rPr>
          <w:b/>
          <w:sz w:val="24"/>
        </w:rPr>
      </w:pPr>
      <w:r w:rsidRPr="009D6837">
        <w:rPr>
          <w:sz w:val="24"/>
        </w:rPr>
        <w:t>Country:</w:t>
      </w:r>
      <w:r w:rsidRPr="009D6837">
        <w:rPr>
          <w:spacing w:val="-4"/>
          <w:sz w:val="24"/>
        </w:rPr>
        <w:t xml:space="preserve"> </w:t>
      </w:r>
      <w:r w:rsidRPr="009D6837">
        <w:rPr>
          <w:b/>
          <w:spacing w:val="-2"/>
          <w:sz w:val="24"/>
        </w:rPr>
        <w:t>Türkiye</w:t>
      </w:r>
    </w:p>
    <w:p w14:paraId="25F234B9" w14:textId="77777777" w:rsidR="00DE1AF0" w:rsidRPr="009D6837" w:rsidRDefault="00A73242">
      <w:pPr>
        <w:spacing w:before="44"/>
        <w:ind w:left="116"/>
        <w:rPr>
          <w:b/>
          <w:sz w:val="24"/>
        </w:rPr>
      </w:pPr>
      <w:r w:rsidRPr="009D6837">
        <w:rPr>
          <w:sz w:val="24"/>
        </w:rPr>
        <w:t>Duty</w:t>
      </w:r>
      <w:r w:rsidRPr="009D6837">
        <w:rPr>
          <w:spacing w:val="-5"/>
          <w:sz w:val="24"/>
        </w:rPr>
        <w:t xml:space="preserve"> </w:t>
      </w:r>
      <w:r w:rsidRPr="009D6837">
        <w:rPr>
          <w:sz w:val="24"/>
        </w:rPr>
        <w:t>Station:</w:t>
      </w:r>
      <w:r w:rsidRPr="009D6837">
        <w:rPr>
          <w:spacing w:val="3"/>
          <w:sz w:val="24"/>
        </w:rPr>
        <w:t xml:space="preserve"> </w:t>
      </w:r>
      <w:r w:rsidRPr="009D6837">
        <w:rPr>
          <w:b/>
          <w:spacing w:val="-2"/>
          <w:sz w:val="24"/>
        </w:rPr>
        <w:t>Ankara</w:t>
      </w:r>
    </w:p>
    <w:p w14:paraId="57DD61C4" w14:textId="444CF179" w:rsidR="00DE1AF0" w:rsidRPr="009D6837" w:rsidRDefault="00A73242">
      <w:pPr>
        <w:spacing w:before="40" w:line="276" w:lineRule="auto"/>
        <w:ind w:left="116" w:right="5270"/>
        <w:rPr>
          <w:b/>
          <w:color w:val="FF0000"/>
          <w:sz w:val="24"/>
        </w:rPr>
      </w:pPr>
      <w:r w:rsidRPr="009D6837">
        <w:rPr>
          <w:sz w:val="24"/>
        </w:rPr>
        <w:t xml:space="preserve">Type of Job Posting: </w:t>
      </w:r>
      <w:r w:rsidRPr="009D6837">
        <w:rPr>
          <w:b/>
          <w:sz w:val="24"/>
        </w:rPr>
        <w:t xml:space="preserve">External </w:t>
      </w:r>
      <w:r w:rsidRPr="009D6837">
        <w:rPr>
          <w:sz w:val="24"/>
        </w:rPr>
        <w:t xml:space="preserve">Employment Type: </w:t>
      </w:r>
      <w:r w:rsidR="001073F4" w:rsidRPr="009D6837">
        <w:rPr>
          <w:b/>
          <w:sz w:val="24"/>
        </w:rPr>
        <w:t>Project</w:t>
      </w:r>
      <w:r w:rsidRPr="009D6837">
        <w:rPr>
          <w:b/>
          <w:sz w:val="24"/>
        </w:rPr>
        <w:t xml:space="preserve">-Full-time </w:t>
      </w:r>
      <w:r w:rsidRPr="00EF4871">
        <w:rPr>
          <w:sz w:val="24"/>
        </w:rPr>
        <w:t xml:space="preserve">Application Deadline: </w:t>
      </w:r>
      <w:r w:rsidR="00487C9B" w:rsidRPr="00487C9B">
        <w:rPr>
          <w:b/>
          <w:sz w:val="24"/>
        </w:rPr>
        <w:t>April 13, 2026</w:t>
      </w:r>
    </w:p>
    <w:p w14:paraId="4A0252B7" w14:textId="77777777" w:rsidR="00BC27C6" w:rsidRPr="00FF64FB" w:rsidRDefault="00BC27C6" w:rsidP="00BC27C6">
      <w:pPr>
        <w:spacing w:before="40" w:line="276" w:lineRule="auto"/>
        <w:ind w:left="116" w:right="4256"/>
        <w:rPr>
          <w:sz w:val="24"/>
        </w:rPr>
      </w:pPr>
      <w:r w:rsidRPr="001B32AC">
        <w:rPr>
          <w:sz w:val="24"/>
        </w:rPr>
        <w:t xml:space="preserve">Type of Consultancy: </w:t>
      </w:r>
      <w:r w:rsidRPr="001B32AC">
        <w:rPr>
          <w:b/>
          <w:sz w:val="24"/>
        </w:rPr>
        <w:t>Individual Consultancy</w:t>
      </w:r>
    </w:p>
    <w:p w14:paraId="62FC7DC2" w14:textId="55C8302A" w:rsidR="00DE1AF0" w:rsidRPr="009D6837" w:rsidRDefault="00DE1AF0">
      <w:pPr>
        <w:pStyle w:val="GvdeMetni"/>
        <w:spacing w:before="46"/>
        <w:rPr>
          <w:b/>
        </w:rPr>
      </w:pPr>
    </w:p>
    <w:p w14:paraId="0B71685A" w14:textId="77777777" w:rsidR="00DE1AF0" w:rsidRPr="009D6837" w:rsidRDefault="00A73242">
      <w:pPr>
        <w:pStyle w:val="Balk1"/>
      </w:pPr>
      <w:r w:rsidRPr="009D6837">
        <w:rPr>
          <w:spacing w:val="-2"/>
        </w:rPr>
        <w:t>BACKGROUND</w:t>
      </w:r>
    </w:p>
    <w:p w14:paraId="18BCF540" w14:textId="77777777" w:rsidR="00A07778" w:rsidRPr="009D6837" w:rsidRDefault="00A07778" w:rsidP="000C6579">
      <w:pPr>
        <w:jc w:val="both"/>
        <w:rPr>
          <w:sz w:val="24"/>
          <w:szCs w:val="24"/>
        </w:rPr>
      </w:pPr>
    </w:p>
    <w:p w14:paraId="241966B4" w14:textId="74CD6FB3" w:rsidR="00A07778" w:rsidRPr="009D6837" w:rsidRDefault="00A07778" w:rsidP="00A07778">
      <w:pPr>
        <w:pStyle w:val="GvdeMetni"/>
        <w:spacing w:before="36" w:line="276" w:lineRule="auto"/>
        <w:ind w:left="116" w:right="116"/>
        <w:jc w:val="both"/>
      </w:pPr>
      <w:r w:rsidRPr="009D6837">
        <w:t>“</w:t>
      </w:r>
      <w:r w:rsidRPr="009D6837">
        <w:rPr>
          <w:b/>
        </w:rPr>
        <w:t>Türkiye Green Industry Project (TGIP)</w:t>
      </w:r>
      <w:r w:rsidRPr="009D6837">
        <w:t>” is a project implemented by Ministry of Industry and Technology</w:t>
      </w:r>
      <w:r w:rsidRPr="009D6837">
        <w:rPr>
          <w:spacing w:val="-13"/>
        </w:rPr>
        <w:t xml:space="preserve"> </w:t>
      </w:r>
      <w:r w:rsidRPr="009D6837">
        <w:t>(MoIT),</w:t>
      </w:r>
      <w:r w:rsidRPr="009D6837">
        <w:rPr>
          <w:spacing w:val="-9"/>
        </w:rPr>
        <w:t xml:space="preserve"> </w:t>
      </w:r>
      <w:r w:rsidRPr="009D6837">
        <w:t>the</w:t>
      </w:r>
      <w:r w:rsidRPr="009D6837">
        <w:rPr>
          <w:spacing w:val="-7"/>
        </w:rPr>
        <w:t xml:space="preserve"> </w:t>
      </w:r>
      <w:r w:rsidRPr="009D6837">
        <w:t>Small</w:t>
      </w:r>
      <w:r w:rsidRPr="009D6837">
        <w:rPr>
          <w:spacing w:val="-9"/>
        </w:rPr>
        <w:t xml:space="preserve"> </w:t>
      </w:r>
      <w:r w:rsidRPr="009D6837">
        <w:t>and</w:t>
      </w:r>
      <w:r w:rsidRPr="009D6837">
        <w:rPr>
          <w:spacing w:val="-9"/>
        </w:rPr>
        <w:t xml:space="preserve"> </w:t>
      </w:r>
      <w:r w:rsidRPr="009D6837">
        <w:t>Medium</w:t>
      </w:r>
      <w:r w:rsidRPr="009D6837">
        <w:rPr>
          <w:spacing w:val="-9"/>
        </w:rPr>
        <w:t xml:space="preserve"> </w:t>
      </w:r>
      <w:r w:rsidRPr="009D6837">
        <w:t>Enterprises</w:t>
      </w:r>
      <w:r w:rsidRPr="009D6837">
        <w:rPr>
          <w:spacing w:val="-9"/>
        </w:rPr>
        <w:t xml:space="preserve"> </w:t>
      </w:r>
      <w:r w:rsidRPr="009D6837">
        <w:t>Development</w:t>
      </w:r>
      <w:r w:rsidRPr="009D6837">
        <w:rPr>
          <w:spacing w:val="-9"/>
        </w:rPr>
        <w:t xml:space="preserve"> </w:t>
      </w:r>
      <w:r w:rsidRPr="009D6837">
        <w:t>Organization</w:t>
      </w:r>
      <w:r w:rsidRPr="009D6837">
        <w:rPr>
          <w:spacing w:val="-9"/>
        </w:rPr>
        <w:t xml:space="preserve"> </w:t>
      </w:r>
      <w:r w:rsidRPr="009D6837">
        <w:t>of</w:t>
      </w:r>
      <w:r w:rsidRPr="009D6837">
        <w:rPr>
          <w:spacing w:val="-10"/>
        </w:rPr>
        <w:t xml:space="preserve"> </w:t>
      </w:r>
      <w:r w:rsidRPr="009D6837">
        <w:t>Türkiye (KOSGEB) and the Scientific and Technological Research Council of Türkiye (TÜBİTAK) financed through World Bank. The project is designed to accelerate the green transformation in industry and thus intensify decarbonization efforts. The project duration is six years and the project implementation entities are MoIT, KOSGEB and TÜBİTAK. The Project will be implemented through four components:</w:t>
      </w:r>
    </w:p>
    <w:p w14:paraId="7D85C1AE" w14:textId="77777777" w:rsidR="000C6579" w:rsidRPr="009D6837" w:rsidRDefault="000C6579" w:rsidP="000C6579">
      <w:pPr>
        <w:pStyle w:val="GvdeMetni"/>
        <w:jc w:val="both"/>
        <w:rPr>
          <w:b/>
          <w:u w:val="single"/>
        </w:rPr>
      </w:pPr>
    </w:p>
    <w:p w14:paraId="0F643C8E" w14:textId="77777777" w:rsidR="000C6579" w:rsidRPr="009D6837" w:rsidRDefault="000C6579" w:rsidP="000C6579">
      <w:pPr>
        <w:pStyle w:val="GvdeMetni"/>
        <w:ind w:left="116" w:right="252"/>
        <w:jc w:val="both"/>
      </w:pPr>
      <w:r w:rsidRPr="009D6837">
        <w:rPr>
          <w:b/>
          <w:u w:val="single"/>
        </w:rPr>
        <w:t>Component 1:</w:t>
      </w:r>
      <w:r w:rsidRPr="009D6837">
        <w:t xml:space="preserve"> Support industrial SMEs improve their energy and resource performance and reduce their carbon emissions, which will be managed by KOSGEB and aims to provide reimbursable financing for investments in solar energy, resource efficiency, and circular </w:t>
      </w:r>
      <w:r w:rsidRPr="009D6837">
        <w:rPr>
          <w:spacing w:val="-2"/>
        </w:rPr>
        <w:t>economy.</w:t>
      </w:r>
    </w:p>
    <w:p w14:paraId="1373CF4F" w14:textId="77777777" w:rsidR="000C6579" w:rsidRPr="009D6837" w:rsidRDefault="000C6579" w:rsidP="000C6579">
      <w:pPr>
        <w:pStyle w:val="GvdeMetni"/>
        <w:ind w:left="116" w:right="255"/>
        <w:jc w:val="both"/>
        <w:rPr>
          <w:b/>
          <w:u w:val="single"/>
        </w:rPr>
      </w:pPr>
      <w:r w:rsidRPr="009D6837">
        <w:rPr>
          <w:b/>
          <w:u w:val="single"/>
        </w:rPr>
        <w:t>Component</w:t>
      </w:r>
      <w:r w:rsidRPr="009D6837">
        <w:rPr>
          <w:b/>
          <w:spacing w:val="-1"/>
          <w:u w:val="single"/>
        </w:rPr>
        <w:t xml:space="preserve"> </w:t>
      </w:r>
      <w:r w:rsidRPr="009D6837">
        <w:rPr>
          <w:b/>
          <w:u w:val="single"/>
        </w:rPr>
        <w:t>2:</w:t>
      </w:r>
      <w:r w:rsidRPr="009D6837">
        <w:t xml:space="preserve"> A</w:t>
      </w:r>
      <w:r w:rsidRPr="009D6837">
        <w:rPr>
          <w:spacing w:val="-4"/>
        </w:rPr>
        <w:t xml:space="preserve"> </w:t>
      </w:r>
      <w:r w:rsidRPr="009D6837">
        <w:t>Contingent</w:t>
      </w:r>
      <w:r w:rsidRPr="009D6837">
        <w:rPr>
          <w:spacing w:val="-1"/>
        </w:rPr>
        <w:t xml:space="preserve"> </w:t>
      </w:r>
      <w:r w:rsidRPr="009D6837">
        <w:t>Emergency</w:t>
      </w:r>
      <w:r w:rsidRPr="009D6837">
        <w:rPr>
          <w:spacing w:val="-6"/>
        </w:rPr>
        <w:t xml:space="preserve"> </w:t>
      </w:r>
      <w:r w:rsidRPr="009D6837">
        <w:t>Response</w:t>
      </w:r>
      <w:r w:rsidRPr="009D6837">
        <w:rPr>
          <w:spacing w:val="-1"/>
        </w:rPr>
        <w:t xml:space="preserve"> </w:t>
      </w:r>
      <w:r w:rsidRPr="009D6837">
        <w:t>Component</w:t>
      </w:r>
      <w:r w:rsidRPr="009D6837">
        <w:rPr>
          <w:spacing w:val="-1"/>
        </w:rPr>
        <w:t xml:space="preserve"> </w:t>
      </w:r>
      <w:r w:rsidRPr="009D6837">
        <w:t>to</w:t>
      </w:r>
      <w:r w:rsidRPr="009D6837">
        <w:rPr>
          <w:spacing w:val="-1"/>
        </w:rPr>
        <w:t xml:space="preserve"> </w:t>
      </w:r>
      <w:r w:rsidRPr="009D6837">
        <w:t>be</w:t>
      </w:r>
      <w:r w:rsidRPr="009D6837">
        <w:rPr>
          <w:spacing w:val="-1"/>
        </w:rPr>
        <w:t xml:space="preserve"> </w:t>
      </w:r>
      <w:r w:rsidRPr="009D6837">
        <w:t>managed</w:t>
      </w:r>
      <w:r w:rsidRPr="009D6837">
        <w:rPr>
          <w:spacing w:val="-4"/>
        </w:rPr>
        <w:t xml:space="preserve"> </w:t>
      </w:r>
      <w:r w:rsidRPr="009D6837">
        <w:t>by</w:t>
      </w:r>
      <w:r w:rsidRPr="009D6837">
        <w:rPr>
          <w:spacing w:val="-6"/>
        </w:rPr>
        <w:t xml:space="preserve"> </w:t>
      </w:r>
      <w:r w:rsidRPr="009D6837">
        <w:t>KOSGEB</w:t>
      </w:r>
      <w:r w:rsidRPr="009D6837">
        <w:rPr>
          <w:spacing w:val="-3"/>
        </w:rPr>
        <w:t xml:space="preserve"> </w:t>
      </w:r>
      <w:r w:rsidRPr="009D6837">
        <w:t>in the</w:t>
      </w:r>
      <w:r w:rsidRPr="009D6837">
        <w:rPr>
          <w:spacing w:val="-11"/>
        </w:rPr>
        <w:t xml:space="preserve"> </w:t>
      </w:r>
      <w:r w:rsidRPr="009D6837">
        <w:t>event</w:t>
      </w:r>
      <w:r w:rsidRPr="009D6837">
        <w:rPr>
          <w:spacing w:val="-11"/>
        </w:rPr>
        <w:t xml:space="preserve"> </w:t>
      </w:r>
      <w:r w:rsidRPr="009D6837">
        <w:t>of</w:t>
      </w:r>
      <w:r w:rsidRPr="009D6837">
        <w:rPr>
          <w:spacing w:val="-11"/>
        </w:rPr>
        <w:t xml:space="preserve"> </w:t>
      </w:r>
      <w:r w:rsidRPr="009D6837">
        <w:t>an</w:t>
      </w:r>
      <w:r w:rsidRPr="009D6837">
        <w:rPr>
          <w:spacing w:val="-11"/>
        </w:rPr>
        <w:t xml:space="preserve"> </w:t>
      </w:r>
      <w:r w:rsidRPr="009D6837">
        <w:t>eligible</w:t>
      </w:r>
      <w:r w:rsidRPr="009D6837">
        <w:rPr>
          <w:spacing w:val="-13"/>
        </w:rPr>
        <w:t xml:space="preserve"> </w:t>
      </w:r>
      <w:r w:rsidRPr="009D6837">
        <w:t>crisis</w:t>
      </w:r>
      <w:r w:rsidRPr="009D6837">
        <w:rPr>
          <w:spacing w:val="-8"/>
        </w:rPr>
        <w:t xml:space="preserve"> </w:t>
      </w:r>
      <w:r w:rsidRPr="009D6837">
        <w:t>or</w:t>
      </w:r>
      <w:r w:rsidRPr="009D6837">
        <w:rPr>
          <w:spacing w:val="-13"/>
        </w:rPr>
        <w:t xml:space="preserve"> </w:t>
      </w:r>
      <w:r w:rsidRPr="009D6837">
        <w:t>emergency,</w:t>
      </w:r>
      <w:r w:rsidRPr="009D6837">
        <w:rPr>
          <w:spacing w:val="-11"/>
        </w:rPr>
        <w:t xml:space="preserve"> </w:t>
      </w:r>
      <w:r w:rsidRPr="009D6837">
        <w:t>in</w:t>
      </w:r>
      <w:r w:rsidRPr="009D6837">
        <w:rPr>
          <w:spacing w:val="-11"/>
        </w:rPr>
        <w:t xml:space="preserve"> </w:t>
      </w:r>
      <w:r w:rsidRPr="009D6837">
        <w:t>line</w:t>
      </w:r>
      <w:r w:rsidRPr="009D6837">
        <w:rPr>
          <w:spacing w:val="-13"/>
        </w:rPr>
        <w:t xml:space="preserve"> </w:t>
      </w:r>
      <w:r w:rsidRPr="009D6837">
        <w:t>with</w:t>
      </w:r>
      <w:r w:rsidRPr="009D6837">
        <w:rPr>
          <w:spacing w:val="-8"/>
        </w:rPr>
        <w:t xml:space="preserve"> </w:t>
      </w:r>
      <w:r w:rsidRPr="009D6837">
        <w:t>World</w:t>
      </w:r>
      <w:r w:rsidRPr="009D6837">
        <w:rPr>
          <w:spacing w:val="-13"/>
        </w:rPr>
        <w:t xml:space="preserve"> </w:t>
      </w:r>
      <w:r w:rsidRPr="009D6837">
        <w:t>Bank</w:t>
      </w:r>
      <w:r w:rsidRPr="009D6837">
        <w:rPr>
          <w:spacing w:val="-11"/>
        </w:rPr>
        <w:t xml:space="preserve"> </w:t>
      </w:r>
      <w:r w:rsidRPr="009D6837">
        <w:t>Policy:</w:t>
      </w:r>
      <w:r w:rsidRPr="009D6837">
        <w:rPr>
          <w:spacing w:val="-8"/>
        </w:rPr>
        <w:t xml:space="preserve"> </w:t>
      </w:r>
      <w:r w:rsidRPr="009D6837">
        <w:t>Investment</w:t>
      </w:r>
      <w:r w:rsidRPr="009D6837">
        <w:rPr>
          <w:spacing w:val="-8"/>
        </w:rPr>
        <w:t xml:space="preserve"> </w:t>
      </w:r>
      <w:r w:rsidRPr="009D6837">
        <w:t xml:space="preserve">Project </w:t>
      </w:r>
      <w:r w:rsidRPr="009D6837">
        <w:rPr>
          <w:spacing w:val="-2"/>
        </w:rPr>
        <w:t>Financing</w:t>
      </w:r>
    </w:p>
    <w:p w14:paraId="5CE4B442" w14:textId="77777777" w:rsidR="000C6579" w:rsidRPr="009D6837" w:rsidRDefault="000C6579" w:rsidP="000C6579">
      <w:pPr>
        <w:pStyle w:val="GvdeMetni"/>
        <w:ind w:left="116" w:right="254"/>
        <w:jc w:val="both"/>
      </w:pPr>
      <w:r w:rsidRPr="009D6837">
        <w:rPr>
          <w:b/>
          <w:u w:val="single"/>
        </w:rPr>
        <w:t>Component</w:t>
      </w:r>
      <w:r w:rsidRPr="009D6837">
        <w:rPr>
          <w:b/>
          <w:spacing w:val="-8"/>
          <w:u w:val="single"/>
        </w:rPr>
        <w:t xml:space="preserve"> </w:t>
      </w:r>
      <w:r w:rsidRPr="009D6837">
        <w:rPr>
          <w:b/>
          <w:u w:val="single"/>
        </w:rPr>
        <w:t>3:</w:t>
      </w:r>
      <w:r w:rsidRPr="009D6837">
        <w:rPr>
          <w:spacing w:val="-6"/>
        </w:rPr>
        <w:t xml:space="preserve"> </w:t>
      </w:r>
      <w:r w:rsidRPr="009D6837">
        <w:t>Support</w:t>
      </w:r>
      <w:r w:rsidRPr="009D6837">
        <w:rPr>
          <w:spacing w:val="-8"/>
        </w:rPr>
        <w:t xml:space="preserve"> </w:t>
      </w:r>
      <w:r w:rsidRPr="009D6837">
        <w:t>the</w:t>
      </w:r>
      <w:r w:rsidRPr="009D6837">
        <w:rPr>
          <w:spacing w:val="-11"/>
        </w:rPr>
        <w:t xml:space="preserve"> </w:t>
      </w:r>
      <w:r w:rsidRPr="009D6837">
        <w:t>Green</w:t>
      </w:r>
      <w:r w:rsidRPr="009D6837">
        <w:rPr>
          <w:spacing w:val="-6"/>
        </w:rPr>
        <w:t xml:space="preserve"> </w:t>
      </w:r>
      <w:r w:rsidRPr="009D6837">
        <w:t>Innovation</w:t>
      </w:r>
      <w:r w:rsidRPr="009D6837">
        <w:rPr>
          <w:spacing w:val="-8"/>
        </w:rPr>
        <w:t xml:space="preserve"> </w:t>
      </w:r>
      <w:r w:rsidRPr="009D6837">
        <w:t>of</w:t>
      </w:r>
      <w:r w:rsidRPr="009D6837">
        <w:rPr>
          <w:spacing w:val="-6"/>
        </w:rPr>
        <w:t xml:space="preserve"> </w:t>
      </w:r>
      <w:r w:rsidRPr="009D6837">
        <w:t>Industrial</w:t>
      </w:r>
      <w:r w:rsidRPr="009D6837">
        <w:rPr>
          <w:spacing w:val="-8"/>
        </w:rPr>
        <w:t xml:space="preserve"> </w:t>
      </w:r>
      <w:r w:rsidRPr="009D6837">
        <w:t>Enterprises,</w:t>
      </w:r>
      <w:r w:rsidRPr="009D6837">
        <w:rPr>
          <w:spacing w:val="-8"/>
        </w:rPr>
        <w:t xml:space="preserve"> </w:t>
      </w:r>
      <w:r w:rsidRPr="009D6837">
        <w:t>which</w:t>
      </w:r>
      <w:r w:rsidRPr="009D6837">
        <w:rPr>
          <w:spacing w:val="-8"/>
        </w:rPr>
        <w:t xml:space="preserve"> </w:t>
      </w:r>
      <w:r w:rsidRPr="009D6837">
        <w:t>will</w:t>
      </w:r>
      <w:r w:rsidRPr="009D6837">
        <w:rPr>
          <w:spacing w:val="-5"/>
        </w:rPr>
        <w:t xml:space="preserve"> </w:t>
      </w:r>
      <w:r w:rsidRPr="009D6837">
        <w:t>be</w:t>
      </w:r>
      <w:r w:rsidRPr="009D6837">
        <w:rPr>
          <w:spacing w:val="-11"/>
        </w:rPr>
        <w:t xml:space="preserve"> </w:t>
      </w:r>
      <w:r w:rsidRPr="009D6837">
        <w:t>managed by</w:t>
      </w:r>
      <w:r w:rsidRPr="009D6837">
        <w:rPr>
          <w:spacing w:val="-8"/>
        </w:rPr>
        <w:t xml:space="preserve"> </w:t>
      </w:r>
      <w:r w:rsidRPr="009D6837">
        <w:rPr>
          <w:b/>
        </w:rPr>
        <w:t>TÜBİTAK</w:t>
      </w:r>
      <w:r w:rsidRPr="009D6837">
        <w:rPr>
          <w:b/>
          <w:spacing w:val="-3"/>
        </w:rPr>
        <w:t xml:space="preserve"> </w:t>
      </w:r>
      <w:r w:rsidRPr="009D6837">
        <w:t>and</w:t>
      </w:r>
      <w:r w:rsidRPr="009D6837">
        <w:rPr>
          <w:spacing w:val="-3"/>
        </w:rPr>
        <w:t xml:space="preserve"> </w:t>
      </w:r>
      <w:r w:rsidRPr="009D6837">
        <w:t>aims</w:t>
      </w:r>
      <w:r w:rsidRPr="009D6837">
        <w:rPr>
          <w:spacing w:val="-3"/>
        </w:rPr>
        <w:t xml:space="preserve"> </w:t>
      </w:r>
      <w:r w:rsidRPr="009D6837">
        <w:t>to</w:t>
      </w:r>
      <w:r w:rsidRPr="009D6837">
        <w:rPr>
          <w:spacing w:val="-1"/>
        </w:rPr>
        <w:t xml:space="preserve"> </w:t>
      </w:r>
      <w:r w:rsidRPr="009D6837">
        <w:t>provide</w:t>
      </w:r>
      <w:r w:rsidRPr="009D6837">
        <w:rPr>
          <w:spacing w:val="-6"/>
        </w:rPr>
        <w:t xml:space="preserve"> </w:t>
      </w:r>
      <w:r w:rsidRPr="009D6837">
        <w:t>matching</w:t>
      </w:r>
      <w:r w:rsidRPr="009D6837">
        <w:rPr>
          <w:spacing w:val="-6"/>
        </w:rPr>
        <w:t xml:space="preserve"> </w:t>
      </w:r>
      <w:r w:rsidRPr="009D6837">
        <w:t>grants</w:t>
      </w:r>
      <w:r w:rsidRPr="009D6837">
        <w:rPr>
          <w:spacing w:val="-3"/>
        </w:rPr>
        <w:t xml:space="preserve"> </w:t>
      </w:r>
      <w:r w:rsidRPr="009D6837">
        <w:t>and</w:t>
      </w:r>
      <w:r w:rsidRPr="009D6837">
        <w:rPr>
          <w:spacing w:val="-3"/>
        </w:rPr>
        <w:t xml:space="preserve"> </w:t>
      </w:r>
      <w:r w:rsidRPr="009D6837">
        <w:t>reimbursable</w:t>
      </w:r>
      <w:r w:rsidRPr="009D6837">
        <w:rPr>
          <w:spacing w:val="-3"/>
        </w:rPr>
        <w:t xml:space="preserve"> </w:t>
      </w:r>
      <w:r w:rsidRPr="009D6837">
        <w:t>financing</w:t>
      </w:r>
      <w:r w:rsidRPr="009D6837">
        <w:rPr>
          <w:spacing w:val="-6"/>
        </w:rPr>
        <w:t xml:space="preserve"> </w:t>
      </w:r>
      <w:r w:rsidRPr="009D6837">
        <w:t>for</w:t>
      </w:r>
      <w:r w:rsidRPr="009D6837">
        <w:rPr>
          <w:spacing w:val="-3"/>
        </w:rPr>
        <w:t xml:space="preserve"> </w:t>
      </w:r>
      <w:r w:rsidRPr="009D6837">
        <w:t>green</w:t>
      </w:r>
      <w:r w:rsidRPr="009D6837">
        <w:rPr>
          <w:spacing w:val="-3"/>
        </w:rPr>
        <w:t xml:space="preserve"> </w:t>
      </w:r>
      <w:r w:rsidRPr="009D6837">
        <w:t>firm- level and platform-level innovation (product and process).</w:t>
      </w:r>
    </w:p>
    <w:p w14:paraId="4CE42869" w14:textId="77777777" w:rsidR="000C6579" w:rsidRPr="009D6837" w:rsidRDefault="000C6579" w:rsidP="000C6579">
      <w:pPr>
        <w:pStyle w:val="GvdeMetni"/>
        <w:ind w:left="116" w:right="254"/>
        <w:jc w:val="both"/>
      </w:pPr>
      <w:r w:rsidRPr="009D6837">
        <w:rPr>
          <w:b/>
          <w:u w:val="single"/>
        </w:rPr>
        <w:t>Component 4:</w:t>
      </w:r>
      <w:r w:rsidRPr="009D6837">
        <w:t xml:space="preserve"> Project management and institutional development, which will be managed by DGI of MoIT and aims to coordinate project activities, define an eligible green technology taxonomy, provide technical assistance to MoIT and partners, qualify and certify green transformation experts, establish a green knowledge management system for industries, and provide awareness to firms about the project’s activities and results.</w:t>
      </w:r>
    </w:p>
    <w:p w14:paraId="67EF1537" w14:textId="77777777" w:rsidR="00DE1AF0" w:rsidRPr="009D6837" w:rsidRDefault="00DE1AF0">
      <w:pPr>
        <w:pStyle w:val="GvdeMetni"/>
        <w:spacing w:before="42"/>
      </w:pPr>
    </w:p>
    <w:p w14:paraId="20116123" w14:textId="3EFB27ED" w:rsidR="00ED0875" w:rsidRDefault="00A07778" w:rsidP="00ED0875">
      <w:pPr>
        <w:pStyle w:val="GvdeMetni"/>
        <w:spacing w:before="42"/>
        <w:ind w:left="116"/>
        <w:jc w:val="both"/>
      </w:pPr>
      <w:r w:rsidRPr="009D6837">
        <w:t xml:space="preserve">TÜBİTAK will manage </w:t>
      </w:r>
      <w:r w:rsidRPr="009D6837">
        <w:rPr>
          <w:b/>
          <w:u w:val="single"/>
        </w:rPr>
        <w:t>Component 3</w:t>
      </w:r>
      <w:r w:rsidRPr="009D6837">
        <w:t xml:space="preserve"> that includes four subcomponents, targeting different levels of Türkiye’s R&amp;D and innovation ecosystem. With this component, TÜBİTAK will provide matching grants, and reimbursable financing to private enterprises and service providers to finance of their green innovation subprojects. </w:t>
      </w:r>
      <w:r w:rsidR="000E6436" w:rsidRPr="009D6837">
        <w:t xml:space="preserve">Projects that will be supported through R&amp;D </w:t>
      </w:r>
      <w:r w:rsidR="000E6436" w:rsidRPr="009D6837">
        <w:lastRenderedPageBreak/>
        <w:t>and innovation support programs carried out by TÜBİTAK within the scope of the TGIP are defined as “subprojects”.</w:t>
      </w:r>
    </w:p>
    <w:p w14:paraId="0C657487" w14:textId="32090BAB" w:rsidR="002F58A5" w:rsidRPr="009D6837" w:rsidRDefault="002F58A5" w:rsidP="002F58A5">
      <w:pPr>
        <w:spacing w:before="42"/>
        <w:ind w:left="116"/>
        <w:jc w:val="both"/>
        <w:rPr>
          <w:sz w:val="24"/>
          <w:szCs w:val="24"/>
        </w:rPr>
      </w:pPr>
      <w:r w:rsidRPr="009D6837">
        <w:rPr>
          <w:sz w:val="24"/>
          <w:szCs w:val="24"/>
        </w:rPr>
        <w:t xml:space="preserve">In line with the existing international definitions, green innovation support would include the creation, adoption and adaptation of new or significantly improved products (goods and services), and business processes, which will improve sustainable development and lead to more efficient and responsible use of natural resources and positive impacts on the environment (including energy savings, pollution reduction or prevention, waste recycling, resource efficiency, etc.). </w:t>
      </w:r>
    </w:p>
    <w:p w14:paraId="0599BF43" w14:textId="77777777" w:rsidR="00A07778" w:rsidRPr="009D6837" w:rsidRDefault="00A07778" w:rsidP="00A07778">
      <w:pPr>
        <w:pStyle w:val="GvdeMetni"/>
        <w:spacing w:before="42"/>
        <w:ind w:left="116"/>
        <w:jc w:val="both"/>
      </w:pPr>
    </w:p>
    <w:p w14:paraId="764B333F" w14:textId="77777777" w:rsidR="00A07778" w:rsidRPr="009D6837" w:rsidRDefault="00A07778" w:rsidP="00A07778">
      <w:pPr>
        <w:pStyle w:val="GvdeMetni"/>
        <w:spacing w:before="42"/>
        <w:ind w:left="116"/>
        <w:jc w:val="both"/>
      </w:pPr>
      <w:r w:rsidRPr="009D6837">
        <w:t>The four subcomponents that will be carried out by TÜBİTAK are given below:</w:t>
      </w:r>
    </w:p>
    <w:p w14:paraId="3DF9E3C9" w14:textId="77777777" w:rsidR="00A07778" w:rsidRPr="009D6837" w:rsidRDefault="00A07778">
      <w:pPr>
        <w:pStyle w:val="GvdeMetni"/>
        <w:spacing w:before="42"/>
      </w:pPr>
    </w:p>
    <w:tbl>
      <w:tblPr>
        <w:tblStyle w:val="TabloKlavuzu"/>
        <w:tblW w:w="0" w:type="auto"/>
        <w:tblInd w:w="137" w:type="dxa"/>
        <w:shd w:val="clear" w:color="auto" w:fill="EAF1DD" w:themeFill="accent3" w:themeFillTint="33"/>
        <w:tblLook w:val="04A0" w:firstRow="1" w:lastRow="0" w:firstColumn="1" w:lastColumn="0" w:noHBand="0" w:noVBand="1"/>
      </w:tblPr>
      <w:tblGrid>
        <w:gridCol w:w="4394"/>
        <w:gridCol w:w="4769"/>
      </w:tblGrid>
      <w:tr w:rsidR="00A07778" w:rsidRPr="009D6837" w14:paraId="670D2519" w14:textId="77777777" w:rsidTr="00A07778">
        <w:tc>
          <w:tcPr>
            <w:tcW w:w="4394" w:type="dxa"/>
            <w:shd w:val="clear" w:color="auto" w:fill="EAF1DD" w:themeFill="accent3" w:themeFillTint="33"/>
          </w:tcPr>
          <w:p w14:paraId="36A45F13" w14:textId="77777777" w:rsidR="00A07778" w:rsidRPr="009D6837" w:rsidRDefault="00A07778">
            <w:pPr>
              <w:pStyle w:val="GvdeMetni"/>
              <w:spacing w:before="42"/>
              <w:rPr>
                <w:b/>
              </w:rPr>
            </w:pPr>
            <w:r w:rsidRPr="009D6837">
              <w:rPr>
                <w:b/>
              </w:rPr>
              <w:t xml:space="preserve">Name of the Subcomponent </w:t>
            </w:r>
          </w:p>
        </w:tc>
        <w:tc>
          <w:tcPr>
            <w:tcW w:w="4769" w:type="dxa"/>
            <w:shd w:val="clear" w:color="auto" w:fill="EAF1DD" w:themeFill="accent3" w:themeFillTint="33"/>
          </w:tcPr>
          <w:p w14:paraId="5AE03990" w14:textId="77777777" w:rsidR="00A07778" w:rsidRPr="009D6837" w:rsidRDefault="00A07778">
            <w:pPr>
              <w:pStyle w:val="GvdeMetni"/>
              <w:spacing w:before="42"/>
              <w:rPr>
                <w:b/>
              </w:rPr>
            </w:pPr>
            <w:r w:rsidRPr="009D6837">
              <w:rPr>
                <w:b/>
              </w:rPr>
              <w:t>The Aim of the Subcomponent</w:t>
            </w:r>
          </w:p>
        </w:tc>
      </w:tr>
      <w:tr w:rsidR="00A07778" w:rsidRPr="009D6837" w14:paraId="3FCA88B6" w14:textId="77777777" w:rsidTr="00A07778">
        <w:tc>
          <w:tcPr>
            <w:tcW w:w="4394" w:type="dxa"/>
            <w:shd w:val="clear" w:color="auto" w:fill="EAF1DD" w:themeFill="accent3" w:themeFillTint="33"/>
            <w:vAlign w:val="center"/>
          </w:tcPr>
          <w:p w14:paraId="7E551D79" w14:textId="77777777" w:rsidR="00A07778" w:rsidRPr="002606DA" w:rsidRDefault="00A07778" w:rsidP="00A07778">
            <w:pPr>
              <w:pStyle w:val="GvdeMetni"/>
              <w:spacing w:before="42"/>
              <w:rPr>
                <w:b/>
              </w:rPr>
            </w:pPr>
            <w:r w:rsidRPr="009D6837">
              <w:rPr>
                <w:b/>
              </w:rPr>
              <w:t>Subcomponent 3.1: Climate-informed and Green Innovation Technology Extension Program</w:t>
            </w:r>
            <w:r w:rsidRPr="002606DA">
              <w:rPr>
                <w:rStyle w:val="DipnotBavurusu"/>
                <w:b/>
              </w:rPr>
              <w:footnoteReference w:id="1"/>
            </w:r>
          </w:p>
        </w:tc>
        <w:tc>
          <w:tcPr>
            <w:tcW w:w="4769" w:type="dxa"/>
            <w:shd w:val="clear" w:color="auto" w:fill="EAF1DD" w:themeFill="accent3" w:themeFillTint="33"/>
          </w:tcPr>
          <w:p w14:paraId="2258B2A8" w14:textId="77777777" w:rsidR="00A07778" w:rsidRPr="002606DA" w:rsidRDefault="00A07778" w:rsidP="00A07778">
            <w:pPr>
              <w:pStyle w:val="GvdeMetni"/>
              <w:spacing w:before="42"/>
              <w:jc w:val="both"/>
            </w:pPr>
            <w:r w:rsidRPr="002606DA">
              <w:t>To support technology and innovation needs assessments at the firm level and at exploring possible solutions based on an expert diagnosis.</w:t>
            </w:r>
          </w:p>
        </w:tc>
      </w:tr>
      <w:tr w:rsidR="00A07778" w:rsidRPr="009D6837" w14:paraId="4355FB46" w14:textId="77777777" w:rsidTr="00A07778">
        <w:tc>
          <w:tcPr>
            <w:tcW w:w="4394" w:type="dxa"/>
            <w:shd w:val="clear" w:color="auto" w:fill="EAF1DD" w:themeFill="accent3" w:themeFillTint="33"/>
            <w:vAlign w:val="center"/>
          </w:tcPr>
          <w:p w14:paraId="57EB7200" w14:textId="77777777" w:rsidR="00A07778" w:rsidRPr="002606DA" w:rsidRDefault="00A07778" w:rsidP="00A07778">
            <w:pPr>
              <w:pStyle w:val="GvdeMetni"/>
              <w:spacing w:before="42"/>
              <w:rPr>
                <w:b/>
              </w:rPr>
            </w:pPr>
            <w:r w:rsidRPr="009D6837">
              <w:rPr>
                <w:b/>
              </w:rPr>
              <w:t>Subcomponent 3.2 Green Transformation in Industry Program</w:t>
            </w:r>
            <w:r w:rsidRPr="002606DA">
              <w:rPr>
                <w:rStyle w:val="DipnotBavurusu"/>
                <w:b/>
              </w:rPr>
              <w:footnoteReference w:id="2"/>
            </w:r>
          </w:p>
        </w:tc>
        <w:tc>
          <w:tcPr>
            <w:tcW w:w="4769" w:type="dxa"/>
            <w:shd w:val="clear" w:color="auto" w:fill="EAF1DD" w:themeFill="accent3" w:themeFillTint="33"/>
          </w:tcPr>
          <w:p w14:paraId="7E815991" w14:textId="77777777" w:rsidR="00A07778" w:rsidRPr="002606DA" w:rsidRDefault="00A07778" w:rsidP="00A07778">
            <w:pPr>
              <w:pStyle w:val="GvdeMetni"/>
              <w:spacing w:before="42"/>
              <w:jc w:val="both"/>
            </w:pPr>
            <w:r w:rsidRPr="002606DA">
              <w:t>To support climate-informed and sustainable green innovation by R&amp;D and innovation subprojects of private sector firms including consortia of firms and/or technology providers, research centers, and universities.</w:t>
            </w:r>
          </w:p>
        </w:tc>
      </w:tr>
      <w:tr w:rsidR="00A07778" w:rsidRPr="009D6837" w14:paraId="7ABC2B3B" w14:textId="77777777" w:rsidTr="00A07778">
        <w:tc>
          <w:tcPr>
            <w:tcW w:w="4394" w:type="dxa"/>
            <w:shd w:val="clear" w:color="auto" w:fill="EAF1DD" w:themeFill="accent3" w:themeFillTint="33"/>
            <w:vAlign w:val="center"/>
          </w:tcPr>
          <w:p w14:paraId="54957FF9" w14:textId="77777777" w:rsidR="00A07778" w:rsidRPr="002606DA" w:rsidRDefault="00A07778" w:rsidP="00A07778">
            <w:pPr>
              <w:pStyle w:val="GvdeMetni"/>
              <w:spacing w:before="42"/>
              <w:rPr>
                <w:b/>
              </w:rPr>
            </w:pPr>
            <w:r w:rsidRPr="009D6837">
              <w:rPr>
                <w:b/>
              </w:rPr>
              <w:t>Subcomponent 3.3: Industrial Innovation Networks (SAYEM) Green Transformation Program</w:t>
            </w:r>
            <w:r w:rsidRPr="002606DA">
              <w:rPr>
                <w:rStyle w:val="DipnotBavurusu"/>
                <w:b/>
              </w:rPr>
              <w:footnoteReference w:id="3"/>
            </w:r>
          </w:p>
        </w:tc>
        <w:tc>
          <w:tcPr>
            <w:tcW w:w="4769" w:type="dxa"/>
            <w:shd w:val="clear" w:color="auto" w:fill="EAF1DD" w:themeFill="accent3" w:themeFillTint="33"/>
          </w:tcPr>
          <w:p w14:paraId="065B619B" w14:textId="77777777" w:rsidR="00A07778" w:rsidRPr="009D6837" w:rsidRDefault="00A07778" w:rsidP="00A07778">
            <w:pPr>
              <w:pStyle w:val="GvdeMetni"/>
              <w:spacing w:before="42"/>
              <w:jc w:val="both"/>
            </w:pPr>
            <w:r w:rsidRPr="002606DA">
              <w:t xml:space="preserve">To support formation of </w:t>
            </w:r>
            <w:r w:rsidRPr="009D6837">
              <w:t>networks of multiple stakeholders to engage holistically in the development of climate-informed, green innovation solutions for industry.</w:t>
            </w:r>
          </w:p>
        </w:tc>
      </w:tr>
      <w:tr w:rsidR="00A07778" w:rsidRPr="009D6837" w14:paraId="00BBFABF" w14:textId="77777777" w:rsidTr="00A07778">
        <w:tc>
          <w:tcPr>
            <w:tcW w:w="4394" w:type="dxa"/>
            <w:shd w:val="clear" w:color="auto" w:fill="EAF1DD" w:themeFill="accent3" w:themeFillTint="33"/>
            <w:vAlign w:val="center"/>
          </w:tcPr>
          <w:p w14:paraId="1FD371EB" w14:textId="77777777" w:rsidR="00A07778" w:rsidRPr="009D6837" w:rsidRDefault="00A07778" w:rsidP="00A07778">
            <w:pPr>
              <w:pStyle w:val="GvdeMetni"/>
              <w:spacing w:before="42"/>
              <w:rPr>
                <w:b/>
              </w:rPr>
            </w:pPr>
            <w:r w:rsidRPr="009D6837">
              <w:rPr>
                <w:b/>
              </w:rPr>
              <w:t>Subcomponent 3.4: Capacity Building and Technical Assistance to TÜBİTAK</w:t>
            </w:r>
          </w:p>
        </w:tc>
        <w:tc>
          <w:tcPr>
            <w:tcW w:w="4769" w:type="dxa"/>
            <w:shd w:val="clear" w:color="auto" w:fill="EAF1DD" w:themeFill="accent3" w:themeFillTint="33"/>
          </w:tcPr>
          <w:p w14:paraId="0DC6050A" w14:textId="77777777" w:rsidR="00A07778" w:rsidRPr="009D6837" w:rsidRDefault="00A07778" w:rsidP="00A07778">
            <w:pPr>
              <w:pStyle w:val="GvdeMetni"/>
              <w:spacing w:before="42"/>
              <w:jc w:val="both"/>
            </w:pPr>
            <w:r w:rsidRPr="009D6837">
              <w:t>To support the capacity building of TÜBİTAK in assistance of the implementation of the Project</w:t>
            </w:r>
          </w:p>
        </w:tc>
      </w:tr>
    </w:tbl>
    <w:p w14:paraId="468F2802" w14:textId="77777777" w:rsidR="00A07778" w:rsidRPr="009D6837" w:rsidRDefault="00A07778">
      <w:pPr>
        <w:pStyle w:val="GvdeMetni"/>
        <w:spacing w:before="42"/>
      </w:pPr>
      <w:r w:rsidRPr="009D6837">
        <w:tab/>
      </w:r>
    </w:p>
    <w:p w14:paraId="7CFEBE86" w14:textId="77777777" w:rsidR="00615041" w:rsidRPr="009D6837" w:rsidRDefault="00615041">
      <w:pPr>
        <w:spacing w:line="276" w:lineRule="auto"/>
        <w:jc w:val="both"/>
      </w:pPr>
    </w:p>
    <w:p w14:paraId="53E01244" w14:textId="77777777" w:rsidR="00DE1AF0" w:rsidRPr="009D6837" w:rsidRDefault="00A73242">
      <w:pPr>
        <w:pStyle w:val="Balk1"/>
        <w:spacing w:before="1"/>
        <w:jc w:val="both"/>
      </w:pPr>
      <w:r w:rsidRPr="009D6837">
        <w:t xml:space="preserve">JOB </w:t>
      </w:r>
      <w:r w:rsidRPr="009D6837">
        <w:rPr>
          <w:spacing w:val="-2"/>
        </w:rPr>
        <w:t>DESCIRIPTION</w:t>
      </w:r>
    </w:p>
    <w:p w14:paraId="562990A5" w14:textId="5C667158" w:rsidR="00A07778" w:rsidRPr="009D6837" w:rsidRDefault="00A73242" w:rsidP="00A07778">
      <w:pPr>
        <w:pStyle w:val="GvdeMetni"/>
        <w:spacing w:before="42"/>
        <w:ind w:left="142"/>
        <w:jc w:val="both"/>
      </w:pPr>
      <w:r w:rsidRPr="009D6837">
        <w:t>We are looking for a</w:t>
      </w:r>
      <w:r w:rsidR="00CE70A6" w:rsidRPr="009D6837">
        <w:t>n</w:t>
      </w:r>
      <w:r w:rsidRPr="009D6837">
        <w:t xml:space="preserve"> </w:t>
      </w:r>
      <w:r w:rsidR="001304A9" w:rsidRPr="009D6837">
        <w:t>Enviro</w:t>
      </w:r>
      <w:r w:rsidR="00CE70A6" w:rsidRPr="009D6837">
        <w:t>n</w:t>
      </w:r>
      <w:r w:rsidR="001304A9" w:rsidRPr="009D6837">
        <w:t>mental</w:t>
      </w:r>
      <w:r w:rsidRPr="009D6837">
        <w:t xml:space="preserve"> </w:t>
      </w:r>
      <w:r w:rsidR="001B32AC">
        <w:t>Consultant</w:t>
      </w:r>
      <w:r w:rsidRPr="009D6837">
        <w:t xml:space="preserve"> responsible for </w:t>
      </w:r>
      <w:r w:rsidR="00CE70A6" w:rsidRPr="009D6837">
        <w:t>assisting in the project implementation in respect to</w:t>
      </w:r>
      <w:r w:rsidRPr="009D6837">
        <w:t xml:space="preserve"> </w:t>
      </w:r>
      <w:r w:rsidR="00CE70A6" w:rsidRPr="009D6837">
        <w:t xml:space="preserve">oversee and ensure implementation of environmental impact and risk mitigation plans and monitoring of all environmental aspects related to the </w:t>
      </w:r>
      <w:r w:rsidR="00FA421E" w:rsidRPr="009D6837">
        <w:rPr>
          <w:b/>
        </w:rPr>
        <w:t xml:space="preserve">TGIP </w:t>
      </w:r>
      <w:r w:rsidRPr="009D6837">
        <w:rPr>
          <w:b/>
        </w:rPr>
        <w:t xml:space="preserve">Component </w:t>
      </w:r>
      <w:r w:rsidR="005A790C" w:rsidRPr="009D6837">
        <w:rPr>
          <w:b/>
        </w:rPr>
        <w:t>3</w:t>
      </w:r>
      <w:r w:rsidR="00FA421E" w:rsidRPr="009D6837">
        <w:rPr>
          <w:b/>
        </w:rPr>
        <w:t xml:space="preserve">. </w:t>
      </w:r>
      <w:r w:rsidR="00A07778" w:rsidRPr="009D6837">
        <w:t xml:space="preserve">Specifically, </w:t>
      </w:r>
      <w:r w:rsidR="00A07778" w:rsidRPr="009D6837">
        <w:rPr>
          <w:b/>
        </w:rPr>
        <w:t>environmental assessment will be needed for the subcomponents 3.2 and 3.3.</w:t>
      </w:r>
    </w:p>
    <w:p w14:paraId="139EF0E5" w14:textId="77777777" w:rsidR="00A07778" w:rsidRPr="009D6837" w:rsidRDefault="00A07778" w:rsidP="00A07778">
      <w:pPr>
        <w:pStyle w:val="GvdeMetni"/>
        <w:spacing w:before="36" w:line="276" w:lineRule="auto"/>
        <w:ind w:left="116" w:right="112"/>
        <w:jc w:val="both"/>
      </w:pPr>
    </w:p>
    <w:p w14:paraId="1D279CF0" w14:textId="03D9DED3" w:rsidR="001B32AC" w:rsidRDefault="00A73242" w:rsidP="001D46EF">
      <w:pPr>
        <w:pStyle w:val="GvdeMetni"/>
        <w:spacing w:before="36" w:line="276" w:lineRule="auto"/>
        <w:ind w:left="116" w:right="112"/>
        <w:jc w:val="both"/>
      </w:pPr>
      <w:r w:rsidRPr="009D6837">
        <w:t xml:space="preserve">The </w:t>
      </w:r>
      <w:r w:rsidR="00CE70A6" w:rsidRPr="009D6837">
        <w:t>Environmental</w:t>
      </w:r>
      <w:r w:rsidRPr="009D6837">
        <w:t xml:space="preserve"> </w:t>
      </w:r>
      <w:r w:rsidR="001B32AC">
        <w:t>Consultant</w:t>
      </w:r>
      <w:r w:rsidRPr="009D6837">
        <w:t xml:space="preserve"> will play a crucial role in ensuring that the </w:t>
      </w:r>
      <w:r w:rsidR="00FA421E" w:rsidRPr="009D6837">
        <w:t>Project</w:t>
      </w:r>
      <w:r w:rsidRPr="009D6837">
        <w:t xml:space="preserve"> team achieves its goals, makes data-driven decisions, and continuously improves its operations and will report to the Project Manag</w:t>
      </w:r>
      <w:r w:rsidR="00757EA8" w:rsidRPr="009D6837">
        <w:t>ement Unit</w:t>
      </w:r>
      <w:r w:rsidR="009F23CE" w:rsidRPr="009D6837">
        <w:t xml:space="preserve"> of the TÜBİTAK Project Implementation Unit (PIU).</w:t>
      </w:r>
      <w:r w:rsidR="00A07778" w:rsidRPr="009D6837">
        <w:t xml:space="preserve"> The Environmental </w:t>
      </w:r>
      <w:r w:rsidR="001B32AC">
        <w:t>Consultant</w:t>
      </w:r>
      <w:r w:rsidR="00A07778" w:rsidRPr="009D6837">
        <w:t xml:space="preserve"> will be expected to perform and deliver the tasks within the Environmental and Social Management System (ESMS) that has been established by TÜBİTAK, encompassing the processes of appraisal, monitoring, and evaluation of subprojects. The implementation of ESMS will initiate at the application stage, where prospective applicants of subprojects will be required to submit Environmental and Social Due Diligence (ESDD) Declaration Forms in conjunction with a Commitment Letter addressing </w:t>
      </w:r>
      <w:r w:rsidR="00FA421E" w:rsidRPr="009D6837">
        <w:lastRenderedPageBreak/>
        <w:t>environmental and social (</w:t>
      </w:r>
      <w:r w:rsidR="00A07778" w:rsidRPr="009D6837">
        <w:t>E&amp;S</w:t>
      </w:r>
      <w:r w:rsidR="00FA421E" w:rsidRPr="009D6837">
        <w:t>)</w:t>
      </w:r>
      <w:r w:rsidR="00A07778" w:rsidRPr="009D6837">
        <w:t xml:space="preserve"> concerns.</w:t>
      </w:r>
    </w:p>
    <w:p w14:paraId="3DA5AECA" w14:textId="77777777" w:rsidR="001B32AC" w:rsidRDefault="001B32AC" w:rsidP="00BF2996">
      <w:pPr>
        <w:pStyle w:val="GvdeMetni"/>
      </w:pPr>
    </w:p>
    <w:p w14:paraId="098121CF" w14:textId="13BC661A" w:rsidR="00A07778" w:rsidRPr="009D6837" w:rsidRDefault="00A73242" w:rsidP="00A07778">
      <w:pPr>
        <w:pStyle w:val="Balk1"/>
        <w:jc w:val="both"/>
      </w:pPr>
      <w:r w:rsidRPr="009D6837">
        <w:t>DUTIES</w:t>
      </w:r>
      <w:r w:rsidRPr="009D6837">
        <w:rPr>
          <w:spacing w:val="-1"/>
        </w:rPr>
        <w:t xml:space="preserve"> </w:t>
      </w:r>
      <w:r w:rsidRPr="009D6837">
        <w:t>AND</w:t>
      </w:r>
      <w:r w:rsidRPr="009D6837">
        <w:rPr>
          <w:spacing w:val="-1"/>
        </w:rPr>
        <w:t xml:space="preserve"> </w:t>
      </w:r>
      <w:r w:rsidRPr="009D6837">
        <w:rPr>
          <w:spacing w:val="-2"/>
        </w:rPr>
        <w:t>RESPONSIBILITIES</w:t>
      </w:r>
    </w:p>
    <w:p w14:paraId="39FACA5B" w14:textId="2EE947C3" w:rsidR="00DE1AF0" w:rsidRPr="009D6837" w:rsidRDefault="00A73242">
      <w:pPr>
        <w:pStyle w:val="GvdeMetni"/>
        <w:spacing w:before="36" w:line="276" w:lineRule="auto"/>
        <w:ind w:left="116" w:right="112"/>
        <w:jc w:val="both"/>
      </w:pPr>
      <w:r w:rsidRPr="009D6837">
        <w:t xml:space="preserve">The </w:t>
      </w:r>
      <w:r w:rsidR="00CE70A6" w:rsidRPr="009D6837">
        <w:t xml:space="preserve">Environmental </w:t>
      </w:r>
      <w:r w:rsidR="001B32AC">
        <w:t>Consultant</w:t>
      </w:r>
      <w:r w:rsidRPr="009D6837">
        <w:t xml:space="preserve"> will be expected to perform and deliver the following tasks:</w:t>
      </w:r>
    </w:p>
    <w:p w14:paraId="6531DBD3" w14:textId="36A83A83" w:rsidR="00757EA8" w:rsidRPr="009D6837" w:rsidRDefault="00757EA8" w:rsidP="00BC51F4">
      <w:pPr>
        <w:pStyle w:val="ListeParagraf"/>
        <w:numPr>
          <w:ilvl w:val="0"/>
          <w:numId w:val="5"/>
        </w:numPr>
        <w:tabs>
          <w:tab w:val="left" w:pos="1195"/>
        </w:tabs>
        <w:spacing w:before="134"/>
        <w:ind w:right="94"/>
        <w:jc w:val="both"/>
        <w:rPr>
          <w:sz w:val="24"/>
        </w:rPr>
      </w:pPr>
      <w:r w:rsidRPr="009D6837">
        <w:rPr>
          <w:sz w:val="24"/>
        </w:rPr>
        <w:t>Supporting the Project Implementation Unit</w:t>
      </w:r>
      <w:r w:rsidR="00BC51F4" w:rsidRPr="009D6837">
        <w:rPr>
          <w:sz w:val="24"/>
        </w:rPr>
        <w:t xml:space="preserve"> (PIU)</w:t>
      </w:r>
      <w:r w:rsidRPr="009D6837">
        <w:rPr>
          <w:sz w:val="24"/>
        </w:rPr>
        <w:t xml:space="preserve"> </w:t>
      </w:r>
      <w:r w:rsidR="00BC51F4" w:rsidRPr="009D6837">
        <w:rPr>
          <w:sz w:val="24"/>
        </w:rPr>
        <w:t xml:space="preserve">management and </w:t>
      </w:r>
      <w:r w:rsidRPr="009D6837">
        <w:rPr>
          <w:sz w:val="24"/>
        </w:rPr>
        <w:t xml:space="preserve">staff in strategic planning, work program and monitoring </w:t>
      </w:r>
      <w:r w:rsidR="001E0A28" w:rsidRPr="009D6837">
        <w:rPr>
          <w:sz w:val="24"/>
        </w:rPr>
        <w:t xml:space="preserve">the </w:t>
      </w:r>
      <w:r w:rsidRPr="009D6837">
        <w:rPr>
          <w:sz w:val="24"/>
        </w:rPr>
        <w:t>environmental and social performance of the Project,</w:t>
      </w:r>
    </w:p>
    <w:p w14:paraId="44CB1487" w14:textId="77777777" w:rsidR="00757EA8" w:rsidRPr="009D6837" w:rsidRDefault="00757EA8" w:rsidP="006E0039">
      <w:pPr>
        <w:pStyle w:val="ListeParagraf"/>
        <w:numPr>
          <w:ilvl w:val="0"/>
          <w:numId w:val="6"/>
        </w:numPr>
        <w:tabs>
          <w:tab w:val="left" w:pos="1195"/>
        </w:tabs>
        <w:ind w:right="94"/>
        <w:jc w:val="both"/>
        <w:rPr>
          <w:sz w:val="24"/>
        </w:rPr>
      </w:pPr>
      <w:r w:rsidRPr="009D6837">
        <w:rPr>
          <w:sz w:val="24"/>
        </w:rPr>
        <w:t>Ensuring</w:t>
      </w:r>
      <w:r w:rsidRPr="009D6837">
        <w:rPr>
          <w:spacing w:val="-7"/>
          <w:sz w:val="24"/>
        </w:rPr>
        <w:t xml:space="preserve"> </w:t>
      </w:r>
      <w:r w:rsidRPr="009D6837">
        <w:rPr>
          <w:sz w:val="24"/>
        </w:rPr>
        <w:t>that</w:t>
      </w:r>
      <w:r w:rsidRPr="009D6837">
        <w:rPr>
          <w:spacing w:val="-4"/>
          <w:sz w:val="24"/>
        </w:rPr>
        <w:t xml:space="preserve"> </w:t>
      </w:r>
      <w:r w:rsidRPr="009D6837">
        <w:rPr>
          <w:sz w:val="24"/>
        </w:rPr>
        <w:t>the</w:t>
      </w:r>
      <w:r w:rsidRPr="009D6837">
        <w:rPr>
          <w:spacing w:val="-4"/>
          <w:sz w:val="24"/>
        </w:rPr>
        <w:t xml:space="preserve"> </w:t>
      </w:r>
      <w:r w:rsidRPr="009D6837">
        <w:rPr>
          <w:sz w:val="24"/>
        </w:rPr>
        <w:t>project</w:t>
      </w:r>
      <w:r w:rsidRPr="009D6837">
        <w:rPr>
          <w:spacing w:val="-4"/>
          <w:sz w:val="24"/>
        </w:rPr>
        <w:t xml:space="preserve"> </w:t>
      </w:r>
      <w:r w:rsidRPr="009D6837">
        <w:rPr>
          <w:sz w:val="24"/>
        </w:rPr>
        <w:t>complies</w:t>
      </w:r>
      <w:r w:rsidRPr="009D6837">
        <w:rPr>
          <w:spacing w:val="-4"/>
          <w:sz w:val="24"/>
        </w:rPr>
        <w:t xml:space="preserve"> </w:t>
      </w:r>
      <w:r w:rsidRPr="009D6837">
        <w:rPr>
          <w:sz w:val="24"/>
        </w:rPr>
        <w:t>with</w:t>
      </w:r>
      <w:r w:rsidRPr="009D6837">
        <w:rPr>
          <w:spacing w:val="-2"/>
          <w:sz w:val="24"/>
        </w:rPr>
        <w:t xml:space="preserve"> </w:t>
      </w:r>
      <w:r w:rsidRPr="009D6837">
        <w:rPr>
          <w:sz w:val="24"/>
        </w:rPr>
        <w:t>the</w:t>
      </w:r>
      <w:r w:rsidRPr="009D6837">
        <w:rPr>
          <w:spacing w:val="-7"/>
          <w:sz w:val="24"/>
        </w:rPr>
        <w:t xml:space="preserve"> </w:t>
      </w:r>
      <w:r w:rsidRPr="009D6837">
        <w:rPr>
          <w:sz w:val="24"/>
        </w:rPr>
        <w:t>Environmental</w:t>
      </w:r>
      <w:r w:rsidRPr="009D6837">
        <w:rPr>
          <w:spacing w:val="-4"/>
          <w:sz w:val="24"/>
        </w:rPr>
        <w:t xml:space="preserve"> </w:t>
      </w:r>
      <w:r w:rsidRPr="009D6837">
        <w:rPr>
          <w:sz w:val="24"/>
        </w:rPr>
        <w:t>and</w:t>
      </w:r>
      <w:r w:rsidRPr="009D6837">
        <w:rPr>
          <w:spacing w:val="-4"/>
          <w:sz w:val="24"/>
        </w:rPr>
        <w:t xml:space="preserve"> </w:t>
      </w:r>
      <w:r w:rsidRPr="009D6837">
        <w:rPr>
          <w:sz w:val="24"/>
        </w:rPr>
        <w:t>Social</w:t>
      </w:r>
      <w:r w:rsidRPr="009D6837">
        <w:rPr>
          <w:spacing w:val="-6"/>
          <w:sz w:val="24"/>
        </w:rPr>
        <w:t xml:space="preserve"> </w:t>
      </w:r>
      <w:r w:rsidRPr="009D6837">
        <w:rPr>
          <w:sz w:val="24"/>
        </w:rPr>
        <w:t>Management System (ESMS),</w:t>
      </w:r>
      <w:r w:rsidR="006E0039" w:rsidRPr="009D6837">
        <w:rPr>
          <w:sz w:val="24"/>
        </w:rPr>
        <w:t xml:space="preserve"> </w:t>
      </w:r>
    </w:p>
    <w:p w14:paraId="3DDF67F1" w14:textId="1CFC4730" w:rsidR="00FA421E" w:rsidRPr="00E0192B" w:rsidRDefault="00AF29B4" w:rsidP="00B671B8">
      <w:pPr>
        <w:pStyle w:val="GvdeMetni"/>
        <w:numPr>
          <w:ilvl w:val="0"/>
          <w:numId w:val="5"/>
        </w:numPr>
        <w:spacing w:before="36" w:line="276" w:lineRule="auto"/>
        <w:ind w:right="94"/>
        <w:jc w:val="both"/>
        <w:rPr>
          <w:rFonts w:eastAsia="Calibri"/>
          <w:lang w:val="en-GB"/>
        </w:rPr>
      </w:pPr>
      <w:r w:rsidRPr="00E0192B">
        <w:t xml:space="preserve">In collaboration with Social and </w:t>
      </w:r>
      <w:r w:rsidR="00184ADC" w:rsidRPr="00E0192B">
        <w:t>Occupational Health and Safety (</w:t>
      </w:r>
      <w:r w:rsidRPr="00E0192B">
        <w:t>OHS</w:t>
      </w:r>
      <w:r w:rsidR="00184ADC" w:rsidRPr="00E0192B">
        <w:t>)</w:t>
      </w:r>
      <w:r w:rsidRPr="00E0192B">
        <w:t xml:space="preserve"> </w:t>
      </w:r>
      <w:r w:rsidR="001B32AC" w:rsidRPr="00E0192B">
        <w:t>Consultant</w:t>
      </w:r>
      <w:r w:rsidRPr="00E0192B">
        <w:t xml:space="preserve">s, </w:t>
      </w:r>
      <w:r w:rsidRPr="00E0192B">
        <w:rPr>
          <w:rFonts w:eastAsia="Calibri"/>
          <w:lang w:val="en-GB"/>
        </w:rPr>
        <w:t xml:space="preserve">conducting </w:t>
      </w:r>
      <w:r w:rsidR="00BC51F4" w:rsidRPr="00E0192B">
        <w:t>Environmental and Social Due Diligence (</w:t>
      </w:r>
      <w:r w:rsidR="00A07778" w:rsidRPr="00E0192B">
        <w:rPr>
          <w:rFonts w:eastAsia="Calibri"/>
          <w:lang w:val="en-GB"/>
        </w:rPr>
        <w:t>ESDD</w:t>
      </w:r>
      <w:r w:rsidR="00BC51F4" w:rsidRPr="00E0192B">
        <w:rPr>
          <w:rFonts w:eastAsia="Calibri"/>
          <w:lang w:val="en-GB"/>
        </w:rPr>
        <w:t>)</w:t>
      </w:r>
      <w:r w:rsidR="00A07778" w:rsidRPr="00E0192B">
        <w:rPr>
          <w:rFonts w:eastAsia="Calibri"/>
          <w:lang w:val="en-GB"/>
        </w:rPr>
        <w:t xml:space="preserve"> reviews</w:t>
      </w:r>
      <w:r w:rsidR="00757EA8" w:rsidRPr="00E0192B">
        <w:rPr>
          <w:rFonts w:eastAsia="Calibri"/>
          <w:lang w:val="en-GB"/>
        </w:rPr>
        <w:t xml:space="preserve"> of subprojects</w:t>
      </w:r>
      <w:r w:rsidR="00A07778" w:rsidRPr="00E0192B">
        <w:rPr>
          <w:rFonts w:eastAsia="Calibri"/>
          <w:lang w:val="en-GB"/>
        </w:rPr>
        <w:t xml:space="preserve"> </w:t>
      </w:r>
      <w:r w:rsidR="00B671B8" w:rsidRPr="00E0192B">
        <w:rPr>
          <w:rFonts w:eastAsia="Calibri"/>
          <w:lang w:val="en-GB"/>
        </w:rPr>
        <w:t xml:space="preserve">in accordance with the WBG General Environmental, Health and Safety (EHS) guidelines and applicable industry EHS guidelines and </w:t>
      </w:r>
      <w:r w:rsidR="00E0192B" w:rsidRPr="00E0192B">
        <w:rPr>
          <w:rFonts w:eastAsia="Calibri"/>
          <w:lang w:val="en-GB"/>
        </w:rPr>
        <w:t xml:space="preserve">while </w:t>
      </w:r>
      <w:r w:rsidR="00A07778" w:rsidRPr="00E0192B">
        <w:rPr>
          <w:rFonts w:eastAsia="Calibri"/>
          <w:lang w:val="en-GB"/>
        </w:rPr>
        <w:t>ensuring compliance with national legislation and World Bank Environmental and Social St</w:t>
      </w:r>
      <w:r w:rsidR="00E0192B" w:rsidRPr="00E0192B">
        <w:rPr>
          <w:rFonts w:eastAsia="Calibri"/>
          <w:lang w:val="en-GB"/>
        </w:rPr>
        <w:t>andards (WB ESSs)</w:t>
      </w:r>
      <w:r w:rsidR="00B671B8" w:rsidRPr="00E0192B">
        <w:rPr>
          <w:rFonts w:eastAsia="Calibri"/>
          <w:lang w:val="en-GB"/>
        </w:rPr>
        <w:t xml:space="preserve"> </w:t>
      </w:r>
      <w:r w:rsidR="00A07778" w:rsidRPr="00E0192B">
        <w:rPr>
          <w:rFonts w:eastAsia="Calibri"/>
          <w:lang w:val="en-GB"/>
        </w:rPr>
        <w:t>as part</w:t>
      </w:r>
      <w:r w:rsidR="00F700C4" w:rsidRPr="00E0192B">
        <w:rPr>
          <w:rFonts w:eastAsia="Calibri"/>
          <w:lang w:val="en-GB"/>
        </w:rPr>
        <w:t xml:space="preserve"> of the eligibility </w:t>
      </w:r>
      <w:r w:rsidR="00B87397" w:rsidRPr="00E0192B">
        <w:rPr>
          <w:rFonts w:eastAsia="Calibri"/>
          <w:lang w:val="en-GB"/>
        </w:rPr>
        <w:t>check of subproject applications to TÜBİTAK</w:t>
      </w:r>
      <w:r w:rsidR="00F700C4" w:rsidRPr="00E0192B">
        <w:rPr>
          <w:rFonts w:eastAsia="Calibri"/>
          <w:lang w:val="en-GB"/>
        </w:rPr>
        <w:t xml:space="preserve"> and grading the risk level for each subproject application</w:t>
      </w:r>
      <w:r w:rsidR="00FA421E" w:rsidRPr="00E0192B">
        <w:rPr>
          <w:rFonts w:eastAsia="Calibri"/>
          <w:lang w:val="en-GB"/>
        </w:rPr>
        <w:t>,</w:t>
      </w:r>
    </w:p>
    <w:p w14:paraId="26BE37CA" w14:textId="40AC77E0" w:rsidR="00FC4333" w:rsidRPr="009D6837" w:rsidRDefault="00FC4333" w:rsidP="00FC4333">
      <w:pPr>
        <w:pStyle w:val="ListeParagraf"/>
        <w:numPr>
          <w:ilvl w:val="0"/>
          <w:numId w:val="5"/>
        </w:numPr>
        <w:ind w:right="94"/>
        <w:jc w:val="both"/>
        <w:rPr>
          <w:sz w:val="24"/>
        </w:rPr>
      </w:pPr>
      <w:r w:rsidRPr="009D6837">
        <w:rPr>
          <w:sz w:val="24"/>
          <w:szCs w:val="24"/>
        </w:rPr>
        <w:t>If deemed necessary during ESDD r</w:t>
      </w:r>
      <w:r w:rsidR="00B87397" w:rsidRPr="009D6837">
        <w:rPr>
          <w:sz w:val="24"/>
          <w:szCs w:val="24"/>
        </w:rPr>
        <w:t xml:space="preserve">eview, </w:t>
      </w:r>
      <w:r w:rsidRPr="009D6837">
        <w:rPr>
          <w:sz w:val="24"/>
          <w:szCs w:val="24"/>
        </w:rPr>
        <w:t>conducting supplementary site visits to potential beneficiary firms</w:t>
      </w:r>
      <w:r w:rsidRPr="009D6837">
        <w:t xml:space="preserve"> </w:t>
      </w:r>
      <w:r w:rsidRPr="009D6837">
        <w:rPr>
          <w:sz w:val="24"/>
          <w:szCs w:val="24"/>
        </w:rPr>
        <w:t>as a complementary step to the review process,</w:t>
      </w:r>
    </w:p>
    <w:p w14:paraId="3EA36DC8" w14:textId="77777777" w:rsidR="00841476" w:rsidRPr="009D6837" w:rsidRDefault="00FA421E" w:rsidP="00BC51F4">
      <w:pPr>
        <w:pStyle w:val="GvdeMetni"/>
        <w:numPr>
          <w:ilvl w:val="0"/>
          <w:numId w:val="5"/>
        </w:numPr>
        <w:spacing w:before="36" w:line="276" w:lineRule="auto"/>
        <w:ind w:right="94"/>
        <w:jc w:val="both"/>
        <w:rPr>
          <w:rFonts w:eastAsia="Calibri"/>
          <w:lang w:val="en-GB"/>
        </w:rPr>
      </w:pPr>
      <w:r w:rsidRPr="009D6837">
        <w:rPr>
          <w:rFonts w:eastAsia="Calibri"/>
          <w:lang w:val="en-GB"/>
        </w:rPr>
        <w:t>P</w:t>
      </w:r>
      <w:r w:rsidR="00C51605" w:rsidRPr="009D6837">
        <w:rPr>
          <w:rFonts w:eastAsia="Calibri"/>
          <w:lang w:val="en-GB"/>
        </w:rPr>
        <w:t xml:space="preserve">roviding process guidance </w:t>
      </w:r>
      <w:r w:rsidR="00C51605" w:rsidRPr="009D6837">
        <w:t>on identifying key risks, gaps and required actions for the development of an E&amp;S Action Plan tailored to each applicant</w:t>
      </w:r>
      <w:r w:rsidRPr="009D6837">
        <w:t xml:space="preserve"> throughout the monitoring process,</w:t>
      </w:r>
    </w:p>
    <w:p w14:paraId="1EB75458" w14:textId="431ED021" w:rsidR="00F700C4" w:rsidRPr="009D6837" w:rsidRDefault="00FA421E" w:rsidP="00BC51F4">
      <w:pPr>
        <w:pStyle w:val="ListeParagraf"/>
        <w:numPr>
          <w:ilvl w:val="0"/>
          <w:numId w:val="5"/>
        </w:numPr>
        <w:tabs>
          <w:tab w:val="left" w:pos="1195"/>
        </w:tabs>
        <w:ind w:right="94"/>
        <w:jc w:val="both"/>
        <w:rPr>
          <w:sz w:val="24"/>
        </w:rPr>
      </w:pPr>
      <w:r w:rsidRPr="009D6837">
        <w:rPr>
          <w:sz w:val="24"/>
        </w:rPr>
        <w:t xml:space="preserve">In collaboration with Social and OHS </w:t>
      </w:r>
      <w:r w:rsidR="001B32AC">
        <w:rPr>
          <w:sz w:val="24"/>
        </w:rPr>
        <w:t>Consultant</w:t>
      </w:r>
      <w:r w:rsidR="00445B96" w:rsidRPr="009D6837">
        <w:rPr>
          <w:sz w:val="24"/>
        </w:rPr>
        <w:t>s</w:t>
      </w:r>
      <w:r w:rsidRPr="009D6837">
        <w:rPr>
          <w:sz w:val="24"/>
        </w:rPr>
        <w:t xml:space="preserve">, assisting PIU </w:t>
      </w:r>
      <w:r w:rsidR="00841476" w:rsidRPr="009D6837">
        <w:rPr>
          <w:sz w:val="24"/>
        </w:rPr>
        <w:t>to screen</w:t>
      </w:r>
      <w:r w:rsidR="00841476" w:rsidRPr="009D6837">
        <w:rPr>
          <w:spacing w:val="-3"/>
          <w:sz w:val="24"/>
        </w:rPr>
        <w:t xml:space="preserve"> </w:t>
      </w:r>
      <w:r w:rsidR="00841476" w:rsidRPr="009D6837">
        <w:rPr>
          <w:sz w:val="24"/>
        </w:rPr>
        <w:t>each</w:t>
      </w:r>
      <w:r w:rsidR="00841476" w:rsidRPr="009D6837">
        <w:rPr>
          <w:spacing w:val="-7"/>
          <w:sz w:val="24"/>
        </w:rPr>
        <w:t xml:space="preserve"> </w:t>
      </w:r>
      <w:r w:rsidRPr="009D6837">
        <w:rPr>
          <w:sz w:val="24"/>
        </w:rPr>
        <w:t>prospective</w:t>
      </w:r>
      <w:r w:rsidR="00841476" w:rsidRPr="009D6837">
        <w:rPr>
          <w:spacing w:val="-6"/>
          <w:sz w:val="24"/>
        </w:rPr>
        <w:t xml:space="preserve"> </w:t>
      </w:r>
      <w:r w:rsidR="00841476" w:rsidRPr="009D6837">
        <w:rPr>
          <w:sz w:val="24"/>
        </w:rPr>
        <w:t>beneficiary</w:t>
      </w:r>
      <w:r w:rsidR="00841476" w:rsidRPr="009D6837">
        <w:rPr>
          <w:spacing w:val="-10"/>
          <w:sz w:val="24"/>
        </w:rPr>
        <w:t xml:space="preserve"> </w:t>
      </w:r>
      <w:r w:rsidR="00841476" w:rsidRPr="009D6837">
        <w:rPr>
          <w:sz w:val="24"/>
        </w:rPr>
        <w:t>firm</w:t>
      </w:r>
      <w:r w:rsidR="00841476" w:rsidRPr="009D6837">
        <w:rPr>
          <w:spacing w:val="-4"/>
          <w:sz w:val="24"/>
        </w:rPr>
        <w:t xml:space="preserve"> </w:t>
      </w:r>
      <w:r w:rsidR="00841476" w:rsidRPr="009D6837">
        <w:rPr>
          <w:sz w:val="24"/>
        </w:rPr>
        <w:t>in</w:t>
      </w:r>
      <w:r w:rsidR="00841476" w:rsidRPr="009D6837">
        <w:rPr>
          <w:spacing w:val="-6"/>
          <w:sz w:val="24"/>
        </w:rPr>
        <w:t xml:space="preserve"> </w:t>
      </w:r>
      <w:r w:rsidR="00841476" w:rsidRPr="009D6837">
        <w:rPr>
          <w:sz w:val="24"/>
        </w:rPr>
        <w:t>line</w:t>
      </w:r>
      <w:r w:rsidR="00841476" w:rsidRPr="009D6837">
        <w:rPr>
          <w:spacing w:val="-6"/>
          <w:sz w:val="24"/>
        </w:rPr>
        <w:t xml:space="preserve"> </w:t>
      </w:r>
      <w:r w:rsidR="00841476" w:rsidRPr="009D6837">
        <w:rPr>
          <w:sz w:val="24"/>
        </w:rPr>
        <w:t>with</w:t>
      </w:r>
      <w:r w:rsidR="00841476" w:rsidRPr="009D6837">
        <w:rPr>
          <w:spacing w:val="-6"/>
          <w:sz w:val="24"/>
        </w:rPr>
        <w:t xml:space="preserve"> </w:t>
      </w:r>
      <w:r w:rsidR="00841476" w:rsidRPr="009D6837">
        <w:rPr>
          <w:sz w:val="24"/>
        </w:rPr>
        <w:t>ESMS</w:t>
      </w:r>
      <w:r w:rsidR="00841476" w:rsidRPr="009D6837">
        <w:rPr>
          <w:spacing w:val="-3"/>
          <w:sz w:val="24"/>
        </w:rPr>
        <w:t xml:space="preserve"> </w:t>
      </w:r>
      <w:r w:rsidR="00841476" w:rsidRPr="009D6837">
        <w:rPr>
          <w:sz w:val="24"/>
        </w:rPr>
        <w:t>procedures,</w:t>
      </w:r>
      <w:r w:rsidR="00841476" w:rsidRPr="009D6837">
        <w:rPr>
          <w:spacing w:val="-6"/>
          <w:sz w:val="24"/>
        </w:rPr>
        <w:t xml:space="preserve"> </w:t>
      </w:r>
      <w:r w:rsidR="00841476" w:rsidRPr="009D6837">
        <w:rPr>
          <w:sz w:val="24"/>
        </w:rPr>
        <w:t>as</w:t>
      </w:r>
      <w:r w:rsidR="00841476" w:rsidRPr="009D6837">
        <w:rPr>
          <w:spacing w:val="-6"/>
          <w:sz w:val="24"/>
        </w:rPr>
        <w:t xml:space="preserve"> </w:t>
      </w:r>
      <w:r w:rsidR="00841476" w:rsidRPr="009D6837">
        <w:rPr>
          <w:sz w:val="24"/>
        </w:rPr>
        <w:t>part</w:t>
      </w:r>
      <w:r w:rsidR="00841476" w:rsidRPr="009D6837">
        <w:rPr>
          <w:spacing w:val="-6"/>
          <w:sz w:val="24"/>
        </w:rPr>
        <w:t xml:space="preserve"> </w:t>
      </w:r>
      <w:r w:rsidR="00841476" w:rsidRPr="009D6837">
        <w:rPr>
          <w:sz w:val="24"/>
        </w:rPr>
        <w:t>of</w:t>
      </w:r>
      <w:r w:rsidR="00841476" w:rsidRPr="009D6837">
        <w:rPr>
          <w:spacing w:val="-6"/>
          <w:sz w:val="24"/>
        </w:rPr>
        <w:t xml:space="preserve"> </w:t>
      </w:r>
      <w:r w:rsidR="00841476" w:rsidRPr="009D6837">
        <w:rPr>
          <w:sz w:val="24"/>
        </w:rPr>
        <w:t xml:space="preserve">the </w:t>
      </w:r>
      <w:r w:rsidR="00BC51F4" w:rsidRPr="009D6837">
        <w:rPr>
          <w:sz w:val="24"/>
        </w:rPr>
        <w:t>review</w:t>
      </w:r>
      <w:r w:rsidR="00841476" w:rsidRPr="009D6837">
        <w:rPr>
          <w:sz w:val="24"/>
        </w:rPr>
        <w:t xml:space="preserve"> process, and oversee</w:t>
      </w:r>
      <w:r w:rsidRPr="009D6837">
        <w:rPr>
          <w:sz w:val="24"/>
        </w:rPr>
        <w:t>ing</w:t>
      </w:r>
      <w:r w:rsidR="00841476" w:rsidRPr="009D6837">
        <w:rPr>
          <w:sz w:val="24"/>
        </w:rPr>
        <w:t xml:space="preserve"> </w:t>
      </w:r>
      <w:r w:rsidR="00F0023F" w:rsidRPr="009D6837">
        <w:rPr>
          <w:sz w:val="24"/>
        </w:rPr>
        <w:t>E&amp;S</w:t>
      </w:r>
      <w:r w:rsidRPr="009D6837">
        <w:rPr>
          <w:sz w:val="24"/>
        </w:rPr>
        <w:t xml:space="preserve"> Action Plan </w:t>
      </w:r>
      <w:r w:rsidR="00841476" w:rsidRPr="009D6837">
        <w:rPr>
          <w:sz w:val="24"/>
        </w:rPr>
        <w:t xml:space="preserve">as necessary during </w:t>
      </w:r>
      <w:r w:rsidR="00BC51F4" w:rsidRPr="009D6837">
        <w:rPr>
          <w:sz w:val="24"/>
        </w:rPr>
        <w:t xml:space="preserve">the </w:t>
      </w:r>
      <w:r w:rsidR="00841476" w:rsidRPr="009D6837">
        <w:rPr>
          <w:sz w:val="24"/>
        </w:rPr>
        <w:t>monitoring process,</w:t>
      </w:r>
      <w:r w:rsidRPr="009D6837">
        <w:rPr>
          <w:sz w:val="24"/>
        </w:rPr>
        <w:t xml:space="preserve"> </w:t>
      </w:r>
    </w:p>
    <w:p w14:paraId="7A2B80C4" w14:textId="02129CCA" w:rsidR="00A07778" w:rsidRPr="009D6837" w:rsidRDefault="00A07778" w:rsidP="00BC51F4">
      <w:pPr>
        <w:pStyle w:val="GvdeMetni"/>
        <w:numPr>
          <w:ilvl w:val="0"/>
          <w:numId w:val="5"/>
        </w:numPr>
        <w:spacing w:before="36" w:line="276" w:lineRule="auto"/>
        <w:ind w:right="94"/>
        <w:jc w:val="both"/>
      </w:pPr>
      <w:r w:rsidRPr="009D6837">
        <w:rPr>
          <w:rFonts w:eastAsia="Calibri"/>
          <w:lang w:val="en-GB"/>
        </w:rPr>
        <w:t xml:space="preserve">Monitoring the environmental issues, which will be subject to continuous monitoring during the financing period, with designated reporting segments provided by the beneficiaries. </w:t>
      </w:r>
    </w:p>
    <w:p w14:paraId="71F7E65F" w14:textId="77777777" w:rsidR="00BC51F4" w:rsidRPr="009D6837" w:rsidRDefault="00BC51F4" w:rsidP="00BC51F4">
      <w:pPr>
        <w:pStyle w:val="ListeParagraf"/>
        <w:numPr>
          <w:ilvl w:val="0"/>
          <w:numId w:val="5"/>
        </w:numPr>
        <w:ind w:right="94"/>
        <w:jc w:val="both"/>
        <w:rPr>
          <w:sz w:val="24"/>
          <w:szCs w:val="24"/>
        </w:rPr>
      </w:pPr>
      <w:r w:rsidRPr="009D6837">
        <w:rPr>
          <w:sz w:val="24"/>
          <w:szCs w:val="24"/>
        </w:rPr>
        <w:t>Carrying out consultation and information activities regarding the ESMS and Stakeholder Engagement Plan,</w:t>
      </w:r>
    </w:p>
    <w:p w14:paraId="4E4DBE6D" w14:textId="77777777" w:rsidR="00A07778" w:rsidRPr="009D6837" w:rsidRDefault="00F0023F" w:rsidP="00BC51F4">
      <w:pPr>
        <w:pStyle w:val="GvdeMetni"/>
        <w:numPr>
          <w:ilvl w:val="0"/>
          <w:numId w:val="5"/>
        </w:numPr>
        <w:spacing w:before="36" w:line="276" w:lineRule="auto"/>
        <w:ind w:right="94"/>
        <w:jc w:val="both"/>
      </w:pPr>
      <w:r w:rsidRPr="009D6837">
        <w:rPr>
          <w:rFonts w:eastAsia="Calibri"/>
          <w:lang w:val="en-GB"/>
        </w:rPr>
        <w:t xml:space="preserve">Assisting the </w:t>
      </w:r>
      <w:r w:rsidRPr="009D6837">
        <w:t xml:space="preserve">E&amp;S Focal Point in </w:t>
      </w:r>
      <w:r w:rsidRPr="009D6837">
        <w:rPr>
          <w:rFonts w:eastAsia="Calibri"/>
          <w:lang w:val="en-GB"/>
        </w:rPr>
        <w:t>p</w:t>
      </w:r>
      <w:r w:rsidR="00A07778" w:rsidRPr="009D6837">
        <w:rPr>
          <w:rFonts w:eastAsia="Calibri"/>
          <w:lang w:val="en-GB"/>
        </w:rPr>
        <w:t xml:space="preserve">reparing and presenting a comprehensive overview of the ESMS implementation status through the financing of subprojects. </w:t>
      </w:r>
    </w:p>
    <w:p w14:paraId="178F3571" w14:textId="34EEA390" w:rsidR="00841476" w:rsidRPr="009D6837" w:rsidRDefault="00841476" w:rsidP="00BC51F4">
      <w:pPr>
        <w:pStyle w:val="ListeParagraf"/>
        <w:numPr>
          <w:ilvl w:val="0"/>
          <w:numId w:val="5"/>
        </w:numPr>
        <w:tabs>
          <w:tab w:val="left" w:pos="1195"/>
        </w:tabs>
        <w:ind w:right="94"/>
        <w:jc w:val="both"/>
        <w:rPr>
          <w:sz w:val="24"/>
          <w:szCs w:val="24"/>
        </w:rPr>
      </w:pPr>
      <w:r w:rsidRPr="009D6837">
        <w:rPr>
          <w:sz w:val="24"/>
          <w:szCs w:val="24"/>
        </w:rPr>
        <w:t xml:space="preserve">In collaboration with Social </w:t>
      </w:r>
      <w:r w:rsidR="00445B96" w:rsidRPr="009D6837">
        <w:rPr>
          <w:sz w:val="24"/>
          <w:szCs w:val="24"/>
        </w:rPr>
        <w:t xml:space="preserve">and OHS </w:t>
      </w:r>
      <w:r w:rsidR="001B32AC">
        <w:rPr>
          <w:sz w:val="24"/>
          <w:szCs w:val="24"/>
        </w:rPr>
        <w:t>Consultant</w:t>
      </w:r>
      <w:r w:rsidR="00445B96" w:rsidRPr="009D6837">
        <w:rPr>
          <w:sz w:val="24"/>
          <w:szCs w:val="24"/>
        </w:rPr>
        <w:t>s</w:t>
      </w:r>
      <w:r w:rsidRPr="009D6837">
        <w:rPr>
          <w:sz w:val="24"/>
          <w:szCs w:val="24"/>
        </w:rPr>
        <w:t xml:space="preserve">, </w:t>
      </w:r>
      <w:r w:rsidR="00FA421E" w:rsidRPr="009D6837">
        <w:rPr>
          <w:sz w:val="24"/>
          <w:szCs w:val="24"/>
        </w:rPr>
        <w:t>keeping</w:t>
      </w:r>
      <w:r w:rsidRPr="009D6837">
        <w:rPr>
          <w:sz w:val="24"/>
          <w:szCs w:val="24"/>
        </w:rPr>
        <w:t xml:space="preserve"> records of each screening form </w:t>
      </w:r>
      <w:r w:rsidR="00F0023F" w:rsidRPr="009D6837">
        <w:rPr>
          <w:sz w:val="24"/>
          <w:szCs w:val="24"/>
        </w:rPr>
        <w:t xml:space="preserve">and </w:t>
      </w:r>
      <w:r w:rsidRPr="009D6837">
        <w:rPr>
          <w:sz w:val="24"/>
          <w:szCs w:val="24"/>
        </w:rPr>
        <w:t>ESDD, and incorporat</w:t>
      </w:r>
      <w:r w:rsidR="00FA421E" w:rsidRPr="009D6837">
        <w:rPr>
          <w:sz w:val="24"/>
          <w:szCs w:val="24"/>
        </w:rPr>
        <w:t>ing</w:t>
      </w:r>
      <w:r w:rsidRPr="009D6837">
        <w:rPr>
          <w:sz w:val="24"/>
          <w:szCs w:val="24"/>
        </w:rPr>
        <w:t xml:space="preserve"> copies and summary of ESDDs in the regular reports submitted to the World Bank (WB)</w:t>
      </w:r>
      <w:r w:rsidR="00BC51F4" w:rsidRPr="009D6837">
        <w:rPr>
          <w:sz w:val="24"/>
          <w:szCs w:val="24"/>
        </w:rPr>
        <w:t>,</w:t>
      </w:r>
    </w:p>
    <w:p w14:paraId="6C01DB5B" w14:textId="4D34FC3A" w:rsidR="00BC51F4" w:rsidRPr="009D6837" w:rsidRDefault="00BC51F4" w:rsidP="00BC51F4">
      <w:pPr>
        <w:pStyle w:val="ListeParagraf"/>
        <w:numPr>
          <w:ilvl w:val="0"/>
          <w:numId w:val="5"/>
        </w:numPr>
        <w:ind w:right="94"/>
        <w:jc w:val="both"/>
        <w:rPr>
          <w:sz w:val="24"/>
          <w:szCs w:val="24"/>
        </w:rPr>
      </w:pPr>
      <w:r w:rsidRPr="009D6837">
        <w:rPr>
          <w:sz w:val="24"/>
          <w:szCs w:val="24"/>
        </w:rPr>
        <w:t xml:space="preserve">Performing an overall quality assurance function to </w:t>
      </w:r>
      <w:r w:rsidR="006B7372" w:rsidRPr="009D6837">
        <w:rPr>
          <w:sz w:val="24"/>
          <w:szCs w:val="24"/>
        </w:rPr>
        <w:t>ensure that prepared documents</w:t>
      </w:r>
      <w:r w:rsidRPr="009D6837">
        <w:rPr>
          <w:sz w:val="24"/>
          <w:szCs w:val="24"/>
        </w:rPr>
        <w:t xml:space="preserve"> meet World Bank requirements and confirm that they are clear, implementable and appropriate in accordance with the Environmental and Social Commitment Plan (ESCP),</w:t>
      </w:r>
    </w:p>
    <w:p w14:paraId="1E4931D0" w14:textId="77777777" w:rsidR="00FA421E" w:rsidRPr="009D6837" w:rsidRDefault="00FA421E" w:rsidP="00BC51F4">
      <w:pPr>
        <w:pStyle w:val="ListeParagraf"/>
        <w:numPr>
          <w:ilvl w:val="0"/>
          <w:numId w:val="5"/>
        </w:numPr>
        <w:ind w:right="94"/>
        <w:jc w:val="both"/>
        <w:rPr>
          <w:sz w:val="24"/>
        </w:rPr>
      </w:pPr>
      <w:r w:rsidRPr="009D6837">
        <w:rPr>
          <w:sz w:val="24"/>
        </w:rPr>
        <w:t xml:space="preserve">Supporting the PIU in monitoring and providing input on project progress reports </w:t>
      </w:r>
      <w:r w:rsidR="00F0023F" w:rsidRPr="009D6837">
        <w:rPr>
          <w:sz w:val="24"/>
        </w:rPr>
        <w:t xml:space="preserve">and </w:t>
      </w:r>
      <w:r w:rsidR="00F0023F" w:rsidRPr="009D6837">
        <w:rPr>
          <w:sz w:val="24"/>
          <w:szCs w:val="24"/>
        </w:rPr>
        <w:t xml:space="preserve">E&amp;S parameters </w:t>
      </w:r>
      <w:r w:rsidRPr="009D6837">
        <w:rPr>
          <w:sz w:val="24"/>
        </w:rPr>
        <w:t>regarding the implementation of ESMS provisions,</w:t>
      </w:r>
    </w:p>
    <w:p w14:paraId="60C1DF01" w14:textId="61351BA2" w:rsidR="00F0023F" w:rsidRPr="009D6837" w:rsidRDefault="00A07778" w:rsidP="00BC51F4">
      <w:pPr>
        <w:pStyle w:val="ListeParagraf"/>
        <w:numPr>
          <w:ilvl w:val="0"/>
          <w:numId w:val="5"/>
        </w:numPr>
        <w:tabs>
          <w:tab w:val="left" w:pos="1195"/>
        </w:tabs>
        <w:ind w:right="94"/>
        <w:jc w:val="both"/>
        <w:rPr>
          <w:sz w:val="24"/>
        </w:rPr>
      </w:pPr>
      <w:r w:rsidRPr="009D6837">
        <w:rPr>
          <w:sz w:val="24"/>
        </w:rPr>
        <w:t>Promot</w:t>
      </w:r>
      <w:r w:rsidR="00F0023F" w:rsidRPr="009D6837">
        <w:rPr>
          <w:sz w:val="24"/>
        </w:rPr>
        <w:t>ing</w:t>
      </w:r>
      <w:r w:rsidRPr="009D6837">
        <w:rPr>
          <w:sz w:val="24"/>
        </w:rPr>
        <w:t xml:space="preserve"> design and implementation solutions that minimize potential negative environmental impacts and maximize the potential positive benefits of the</w:t>
      </w:r>
      <w:r w:rsidRPr="009D6837">
        <w:rPr>
          <w:spacing w:val="-13"/>
          <w:sz w:val="24"/>
        </w:rPr>
        <w:t xml:space="preserve"> </w:t>
      </w:r>
      <w:r w:rsidRPr="009D6837">
        <w:rPr>
          <w:sz w:val="24"/>
        </w:rPr>
        <w:t>Project,</w:t>
      </w:r>
      <w:r w:rsidRPr="009D6837">
        <w:rPr>
          <w:spacing w:val="-13"/>
          <w:sz w:val="24"/>
        </w:rPr>
        <w:t xml:space="preserve"> </w:t>
      </w:r>
      <w:r w:rsidRPr="009D6837">
        <w:rPr>
          <w:sz w:val="24"/>
        </w:rPr>
        <w:t>including</w:t>
      </w:r>
      <w:r w:rsidRPr="009D6837">
        <w:rPr>
          <w:spacing w:val="-15"/>
          <w:sz w:val="24"/>
        </w:rPr>
        <w:t xml:space="preserve"> </w:t>
      </w:r>
      <w:r w:rsidRPr="009D6837">
        <w:rPr>
          <w:sz w:val="24"/>
        </w:rPr>
        <w:t>the</w:t>
      </w:r>
      <w:r w:rsidRPr="009D6837">
        <w:rPr>
          <w:spacing w:val="-15"/>
          <w:sz w:val="24"/>
        </w:rPr>
        <w:t xml:space="preserve"> </w:t>
      </w:r>
      <w:r w:rsidR="006B7372" w:rsidRPr="009D6837">
        <w:rPr>
          <w:sz w:val="24"/>
        </w:rPr>
        <w:t xml:space="preserve">updating </w:t>
      </w:r>
      <w:r w:rsidRPr="009D6837">
        <w:rPr>
          <w:sz w:val="24"/>
        </w:rPr>
        <w:t>of</w:t>
      </w:r>
      <w:r w:rsidRPr="009D6837">
        <w:rPr>
          <w:spacing w:val="-13"/>
          <w:sz w:val="24"/>
        </w:rPr>
        <w:t xml:space="preserve"> </w:t>
      </w:r>
      <w:r w:rsidRPr="009D6837">
        <w:rPr>
          <w:sz w:val="24"/>
        </w:rPr>
        <w:t>relevant</w:t>
      </w:r>
      <w:r w:rsidRPr="009D6837">
        <w:rPr>
          <w:spacing w:val="-13"/>
          <w:sz w:val="24"/>
        </w:rPr>
        <w:t xml:space="preserve"> </w:t>
      </w:r>
      <w:r w:rsidRPr="009D6837">
        <w:rPr>
          <w:sz w:val="24"/>
        </w:rPr>
        <w:t>sections</w:t>
      </w:r>
      <w:r w:rsidRPr="009D6837">
        <w:rPr>
          <w:spacing w:val="-13"/>
          <w:sz w:val="24"/>
        </w:rPr>
        <w:t xml:space="preserve"> </w:t>
      </w:r>
      <w:r w:rsidRPr="009D6837">
        <w:rPr>
          <w:sz w:val="24"/>
        </w:rPr>
        <w:t>of</w:t>
      </w:r>
      <w:r w:rsidRPr="009D6837">
        <w:rPr>
          <w:spacing w:val="-13"/>
          <w:sz w:val="24"/>
        </w:rPr>
        <w:t xml:space="preserve"> </w:t>
      </w:r>
      <w:r w:rsidRPr="009D6837">
        <w:rPr>
          <w:sz w:val="24"/>
        </w:rPr>
        <w:t>the</w:t>
      </w:r>
      <w:r w:rsidRPr="009D6837">
        <w:rPr>
          <w:spacing w:val="-13"/>
          <w:sz w:val="24"/>
        </w:rPr>
        <w:t xml:space="preserve"> </w:t>
      </w:r>
      <w:r w:rsidRPr="009D6837">
        <w:rPr>
          <w:sz w:val="24"/>
        </w:rPr>
        <w:t>Project</w:t>
      </w:r>
      <w:r w:rsidRPr="009D6837">
        <w:rPr>
          <w:spacing w:val="-15"/>
          <w:sz w:val="24"/>
        </w:rPr>
        <w:t xml:space="preserve"> </w:t>
      </w:r>
      <w:r w:rsidRPr="009D6837">
        <w:rPr>
          <w:sz w:val="24"/>
        </w:rPr>
        <w:t xml:space="preserve">Operations </w:t>
      </w:r>
      <w:r w:rsidRPr="009D6837">
        <w:rPr>
          <w:spacing w:val="-2"/>
          <w:sz w:val="24"/>
        </w:rPr>
        <w:t>Manual,</w:t>
      </w:r>
      <w:r w:rsidR="006B7372" w:rsidRPr="009D6837">
        <w:rPr>
          <w:spacing w:val="-2"/>
          <w:sz w:val="24"/>
        </w:rPr>
        <w:t xml:space="preserve"> when necessary,</w:t>
      </w:r>
    </w:p>
    <w:p w14:paraId="008822C6" w14:textId="77777777" w:rsidR="00F0023F" w:rsidRPr="009D6837" w:rsidRDefault="00F0023F" w:rsidP="00BC51F4">
      <w:pPr>
        <w:pStyle w:val="ListeParagraf"/>
        <w:numPr>
          <w:ilvl w:val="0"/>
          <w:numId w:val="5"/>
        </w:numPr>
        <w:tabs>
          <w:tab w:val="left" w:pos="1195"/>
        </w:tabs>
        <w:ind w:right="94"/>
        <w:jc w:val="both"/>
        <w:rPr>
          <w:sz w:val="24"/>
        </w:rPr>
      </w:pPr>
      <w:r w:rsidRPr="009D6837">
        <w:rPr>
          <w:sz w:val="24"/>
        </w:rPr>
        <w:t>Prepar</w:t>
      </w:r>
      <w:r w:rsidR="00BC51F4" w:rsidRPr="009D6837">
        <w:rPr>
          <w:sz w:val="24"/>
        </w:rPr>
        <w:t>ing</w:t>
      </w:r>
      <w:r w:rsidRPr="009D6837">
        <w:rPr>
          <w:sz w:val="24"/>
        </w:rPr>
        <w:t xml:space="preserve"> any non-compliance reports (if needed) and </w:t>
      </w:r>
      <w:r w:rsidR="00BC51F4" w:rsidRPr="009D6837">
        <w:rPr>
          <w:sz w:val="24"/>
        </w:rPr>
        <w:t xml:space="preserve">keeping </w:t>
      </w:r>
      <w:r w:rsidRPr="009D6837">
        <w:rPr>
          <w:sz w:val="24"/>
        </w:rPr>
        <w:t>track of respective corrective responses/actions undertaken;</w:t>
      </w:r>
    </w:p>
    <w:p w14:paraId="01AAAC86" w14:textId="77777777" w:rsidR="00F0023F" w:rsidRPr="009D6837" w:rsidRDefault="00F0023F" w:rsidP="00BC51F4">
      <w:pPr>
        <w:pStyle w:val="ListeParagraf"/>
        <w:numPr>
          <w:ilvl w:val="0"/>
          <w:numId w:val="5"/>
        </w:numPr>
        <w:tabs>
          <w:tab w:val="left" w:pos="1195"/>
        </w:tabs>
        <w:ind w:right="94"/>
        <w:jc w:val="both"/>
        <w:rPr>
          <w:sz w:val="24"/>
        </w:rPr>
      </w:pPr>
      <w:r w:rsidRPr="009D6837">
        <w:rPr>
          <w:sz w:val="24"/>
        </w:rPr>
        <w:t xml:space="preserve">Being responsible to the </w:t>
      </w:r>
      <w:r w:rsidR="00445B96" w:rsidRPr="009D6837">
        <w:rPr>
          <w:sz w:val="24"/>
        </w:rPr>
        <w:t>PIU management</w:t>
      </w:r>
      <w:r w:rsidRPr="009D6837">
        <w:rPr>
          <w:sz w:val="24"/>
        </w:rPr>
        <w:t xml:space="preserve"> and making the necessary reports,</w:t>
      </w:r>
    </w:p>
    <w:p w14:paraId="0BA932B4" w14:textId="77777777" w:rsidR="002F53A7" w:rsidRPr="009D6837" w:rsidRDefault="002F53A7" w:rsidP="002F53A7">
      <w:pPr>
        <w:pStyle w:val="ListeParagraf"/>
        <w:numPr>
          <w:ilvl w:val="0"/>
          <w:numId w:val="5"/>
        </w:numPr>
        <w:rPr>
          <w:sz w:val="24"/>
        </w:rPr>
      </w:pPr>
      <w:r w:rsidRPr="009D6837">
        <w:rPr>
          <w:sz w:val="24"/>
        </w:rPr>
        <w:t>Cooperating and coordinating with the PIU staff and other relevant units,</w:t>
      </w:r>
    </w:p>
    <w:p w14:paraId="3830CD9B" w14:textId="14398923" w:rsidR="00BF2996" w:rsidRPr="001D46EF" w:rsidRDefault="002F53A7" w:rsidP="00BF2996">
      <w:pPr>
        <w:pStyle w:val="ListeParagraf"/>
        <w:numPr>
          <w:ilvl w:val="0"/>
          <w:numId w:val="5"/>
        </w:numPr>
        <w:tabs>
          <w:tab w:val="left" w:pos="1195"/>
        </w:tabs>
        <w:ind w:right="94"/>
        <w:jc w:val="both"/>
        <w:rPr>
          <w:sz w:val="24"/>
        </w:rPr>
      </w:pPr>
      <w:r w:rsidRPr="009D6837">
        <w:rPr>
          <w:sz w:val="24"/>
        </w:rPr>
        <w:lastRenderedPageBreak/>
        <w:t>C</w:t>
      </w:r>
      <w:r w:rsidR="00F0023F" w:rsidRPr="009D6837">
        <w:rPr>
          <w:sz w:val="24"/>
        </w:rPr>
        <w:t>arry</w:t>
      </w:r>
      <w:r w:rsidRPr="009D6837">
        <w:rPr>
          <w:sz w:val="24"/>
        </w:rPr>
        <w:t>ing</w:t>
      </w:r>
      <w:r w:rsidR="00F0023F" w:rsidRPr="009D6837">
        <w:rPr>
          <w:sz w:val="24"/>
        </w:rPr>
        <w:t xml:space="preserve"> out other duties that may arise within the framework of this Job </w:t>
      </w:r>
      <w:r w:rsidR="00F0023F" w:rsidRPr="009D6837">
        <w:rPr>
          <w:spacing w:val="-2"/>
          <w:sz w:val="24"/>
        </w:rPr>
        <w:t>Description.</w:t>
      </w:r>
    </w:p>
    <w:p w14:paraId="6B6535C0" w14:textId="24CBF007" w:rsidR="00BF2996" w:rsidRPr="00BF2996" w:rsidRDefault="00BF2996" w:rsidP="00BF2996">
      <w:pPr>
        <w:pStyle w:val="GvdeMetni"/>
      </w:pPr>
    </w:p>
    <w:p w14:paraId="3EC3F7F6" w14:textId="77777777" w:rsidR="00BF2996" w:rsidRPr="00BF2996" w:rsidRDefault="00BF2996" w:rsidP="00BF2996">
      <w:pPr>
        <w:pStyle w:val="GvdeMetni"/>
      </w:pPr>
    </w:p>
    <w:p w14:paraId="49DFD1A8" w14:textId="76CBD13C" w:rsidR="00742875" w:rsidRPr="009D6837" w:rsidRDefault="00A73242" w:rsidP="00BF2996">
      <w:pPr>
        <w:pStyle w:val="Balk1"/>
      </w:pPr>
      <w:r w:rsidRPr="009D6837">
        <w:t>REQUIRED</w:t>
      </w:r>
      <w:r w:rsidRPr="009D6837">
        <w:rPr>
          <w:spacing w:val="-2"/>
        </w:rPr>
        <w:t xml:space="preserve"> </w:t>
      </w:r>
      <w:r w:rsidRPr="009D6837">
        <w:t>SKILLS</w:t>
      </w:r>
      <w:r w:rsidRPr="009D6837">
        <w:rPr>
          <w:spacing w:val="-1"/>
        </w:rPr>
        <w:t xml:space="preserve"> </w:t>
      </w:r>
      <w:r w:rsidRPr="009D6837">
        <w:t>AND</w:t>
      </w:r>
      <w:r w:rsidRPr="009D6837">
        <w:rPr>
          <w:spacing w:val="-1"/>
        </w:rPr>
        <w:t xml:space="preserve"> </w:t>
      </w:r>
      <w:r w:rsidRPr="009D6837">
        <w:rPr>
          <w:spacing w:val="-2"/>
        </w:rPr>
        <w:t>EXPERIENCE</w:t>
      </w:r>
    </w:p>
    <w:p w14:paraId="6A1646B0" w14:textId="77777777" w:rsidR="001B32AC" w:rsidRDefault="001B32AC" w:rsidP="00BF2996">
      <w:pPr>
        <w:pStyle w:val="GvdeMetni"/>
      </w:pPr>
    </w:p>
    <w:p w14:paraId="1A2C5211" w14:textId="6D9952C3" w:rsidR="00DE1AF0" w:rsidRPr="009D6837" w:rsidRDefault="00742875" w:rsidP="00BF2996">
      <w:pPr>
        <w:pStyle w:val="Balk2"/>
        <w:spacing w:before="1"/>
      </w:pPr>
      <w:r w:rsidRPr="009D6837">
        <w:t>Education</w:t>
      </w:r>
    </w:p>
    <w:p w14:paraId="74B9F4E5" w14:textId="72E96A0F" w:rsidR="001A309F" w:rsidRPr="00ED0875" w:rsidRDefault="00FA79E6" w:rsidP="009D6837">
      <w:pPr>
        <w:pStyle w:val="ListeParagraf"/>
        <w:numPr>
          <w:ilvl w:val="0"/>
          <w:numId w:val="1"/>
        </w:numPr>
        <w:tabs>
          <w:tab w:val="left" w:pos="836"/>
        </w:tabs>
        <w:spacing w:before="38" w:line="273" w:lineRule="auto"/>
        <w:ind w:left="836" w:right="115" w:hanging="360"/>
        <w:jc w:val="both"/>
        <w:rPr>
          <w:sz w:val="24"/>
        </w:rPr>
      </w:pPr>
      <w:r w:rsidRPr="009D6837">
        <w:rPr>
          <w:sz w:val="24"/>
        </w:rPr>
        <w:t>Having a b</w:t>
      </w:r>
      <w:r w:rsidR="00A73242" w:rsidRPr="009D6837">
        <w:rPr>
          <w:sz w:val="24"/>
        </w:rPr>
        <w:t>achelor's</w:t>
      </w:r>
      <w:r w:rsidR="00A73242" w:rsidRPr="009D6837">
        <w:rPr>
          <w:spacing w:val="-1"/>
          <w:sz w:val="24"/>
        </w:rPr>
        <w:t xml:space="preserve"> </w:t>
      </w:r>
      <w:r w:rsidR="00A73242" w:rsidRPr="009D6837">
        <w:rPr>
          <w:sz w:val="24"/>
        </w:rPr>
        <w:t>degree</w:t>
      </w:r>
      <w:r w:rsidR="00A07778" w:rsidRPr="009D6837">
        <w:rPr>
          <w:sz w:val="24"/>
        </w:rPr>
        <w:t xml:space="preserve"> or higher</w:t>
      </w:r>
      <w:r w:rsidR="00A73242" w:rsidRPr="009D6837">
        <w:rPr>
          <w:spacing w:val="-2"/>
          <w:sz w:val="24"/>
        </w:rPr>
        <w:t xml:space="preserve"> </w:t>
      </w:r>
      <w:r w:rsidR="00A73242" w:rsidRPr="009D6837">
        <w:rPr>
          <w:sz w:val="24"/>
        </w:rPr>
        <w:t xml:space="preserve">in </w:t>
      </w:r>
      <w:r w:rsidR="00CE70A6" w:rsidRPr="009D6837">
        <w:rPr>
          <w:b/>
          <w:sz w:val="24"/>
        </w:rPr>
        <w:t xml:space="preserve">Environmental </w:t>
      </w:r>
      <w:r w:rsidR="001A309F" w:rsidRPr="009D6837">
        <w:rPr>
          <w:b/>
          <w:sz w:val="24"/>
        </w:rPr>
        <w:t xml:space="preserve">Engineering </w:t>
      </w:r>
      <w:r w:rsidR="00A07778" w:rsidRPr="009D6837">
        <w:rPr>
          <w:b/>
          <w:sz w:val="24"/>
        </w:rPr>
        <w:t xml:space="preserve">or Civil </w:t>
      </w:r>
      <w:r w:rsidR="00CE70A6" w:rsidRPr="009D6837">
        <w:rPr>
          <w:b/>
          <w:sz w:val="24"/>
        </w:rPr>
        <w:t>Engineering</w:t>
      </w:r>
      <w:r w:rsidR="00A73242" w:rsidRPr="009D6837">
        <w:rPr>
          <w:b/>
          <w:sz w:val="24"/>
        </w:rPr>
        <w:t xml:space="preserve"> </w:t>
      </w:r>
      <w:r w:rsidR="00A73242" w:rsidRPr="009D6837">
        <w:rPr>
          <w:sz w:val="24"/>
        </w:rPr>
        <w:t>field</w:t>
      </w:r>
      <w:r w:rsidR="009F23CE" w:rsidRPr="009D6837">
        <w:rPr>
          <w:sz w:val="24"/>
        </w:rPr>
        <w:t>s</w:t>
      </w:r>
    </w:p>
    <w:p w14:paraId="3AC0DAD5" w14:textId="77777777" w:rsidR="00BF2996" w:rsidRDefault="00BF2996" w:rsidP="009D6837">
      <w:pPr>
        <w:tabs>
          <w:tab w:val="left" w:pos="836"/>
        </w:tabs>
        <w:spacing w:before="38" w:line="273" w:lineRule="auto"/>
        <w:ind w:right="115"/>
        <w:jc w:val="both"/>
        <w:rPr>
          <w:b/>
          <w:sz w:val="24"/>
        </w:rPr>
      </w:pPr>
      <w:r>
        <w:rPr>
          <w:b/>
          <w:sz w:val="24"/>
        </w:rPr>
        <w:t xml:space="preserve">  </w:t>
      </w:r>
    </w:p>
    <w:p w14:paraId="346C22F3" w14:textId="45984C2D" w:rsidR="00ED0875" w:rsidRPr="00ED0875" w:rsidRDefault="00BF2996" w:rsidP="009D6837">
      <w:pPr>
        <w:tabs>
          <w:tab w:val="left" w:pos="836"/>
        </w:tabs>
        <w:spacing w:before="38" w:line="273" w:lineRule="auto"/>
        <w:ind w:right="115"/>
        <w:jc w:val="both"/>
        <w:rPr>
          <w:b/>
          <w:sz w:val="24"/>
        </w:rPr>
      </w:pPr>
      <w:r>
        <w:rPr>
          <w:b/>
          <w:sz w:val="24"/>
        </w:rPr>
        <w:t xml:space="preserve">  </w:t>
      </w:r>
      <w:r w:rsidR="001A309F" w:rsidRPr="009D6837">
        <w:rPr>
          <w:b/>
          <w:sz w:val="24"/>
        </w:rPr>
        <w:t>Experience</w:t>
      </w:r>
    </w:p>
    <w:p w14:paraId="0C509C47" w14:textId="6B785A41" w:rsidR="00480B9A" w:rsidRDefault="001A309F" w:rsidP="00181B93">
      <w:pPr>
        <w:pStyle w:val="ListeParagraf"/>
        <w:numPr>
          <w:ilvl w:val="0"/>
          <w:numId w:val="1"/>
        </w:numPr>
        <w:tabs>
          <w:tab w:val="left" w:pos="836"/>
        </w:tabs>
        <w:spacing w:before="35"/>
        <w:ind w:left="836" w:hanging="360"/>
        <w:jc w:val="both"/>
        <w:rPr>
          <w:sz w:val="24"/>
        </w:rPr>
      </w:pPr>
      <w:r w:rsidRPr="002606DA">
        <w:rPr>
          <w:sz w:val="24"/>
        </w:rPr>
        <w:t>Minimum 3 (</w:t>
      </w:r>
      <w:r w:rsidRPr="00BF2996">
        <w:rPr>
          <w:sz w:val="24"/>
        </w:rPr>
        <w:t xml:space="preserve">three) years of work experience in </w:t>
      </w:r>
      <w:r w:rsidR="00A07778" w:rsidRPr="00BF2996">
        <w:rPr>
          <w:sz w:val="24"/>
        </w:rPr>
        <w:t xml:space="preserve">environmental management and prioritization of environmental problems </w:t>
      </w:r>
      <w:r w:rsidR="00CE70A6" w:rsidRPr="00BF2996">
        <w:rPr>
          <w:sz w:val="24"/>
        </w:rPr>
        <w:t>(experience in green innovation projects will be an asset).</w:t>
      </w:r>
    </w:p>
    <w:p w14:paraId="6B8BD1EB" w14:textId="481CBB86" w:rsidR="0081315F" w:rsidRPr="002606DA" w:rsidRDefault="0081315F" w:rsidP="00181B93">
      <w:pPr>
        <w:pStyle w:val="ListeParagraf"/>
        <w:numPr>
          <w:ilvl w:val="0"/>
          <w:numId w:val="1"/>
        </w:numPr>
        <w:tabs>
          <w:tab w:val="left" w:pos="836"/>
        </w:tabs>
        <w:spacing w:before="35"/>
        <w:ind w:left="836" w:hanging="360"/>
        <w:jc w:val="both"/>
        <w:rPr>
          <w:sz w:val="24"/>
        </w:rPr>
      </w:pPr>
      <w:r w:rsidRPr="002606DA">
        <w:rPr>
          <w:sz w:val="24"/>
        </w:rPr>
        <w:t>Solid background</w:t>
      </w:r>
      <w:r>
        <w:rPr>
          <w:sz w:val="24"/>
        </w:rPr>
        <w:t xml:space="preserve"> </w:t>
      </w:r>
      <w:r w:rsidR="00166B8D">
        <w:rPr>
          <w:sz w:val="24"/>
        </w:rPr>
        <w:t xml:space="preserve">and knowledge </w:t>
      </w:r>
      <w:r>
        <w:rPr>
          <w:sz w:val="24"/>
        </w:rPr>
        <w:t>in national Environmental Legislation</w:t>
      </w:r>
    </w:p>
    <w:p w14:paraId="5A5745C5" w14:textId="25838958" w:rsidR="00480B9A" w:rsidRPr="002606DA" w:rsidRDefault="00480B9A" w:rsidP="00181B93">
      <w:pPr>
        <w:pStyle w:val="ListeParagraf"/>
        <w:numPr>
          <w:ilvl w:val="0"/>
          <w:numId w:val="1"/>
        </w:numPr>
        <w:tabs>
          <w:tab w:val="left" w:pos="836"/>
        </w:tabs>
        <w:spacing w:before="35"/>
        <w:ind w:left="836" w:hanging="360"/>
        <w:jc w:val="both"/>
        <w:rPr>
          <w:sz w:val="24"/>
        </w:rPr>
      </w:pPr>
      <w:r w:rsidRPr="002606DA">
        <w:rPr>
          <w:sz w:val="24"/>
        </w:rPr>
        <w:t xml:space="preserve">It is preferable to have minimum </w:t>
      </w:r>
      <w:r w:rsidRPr="009D6837">
        <w:rPr>
          <w:sz w:val="24"/>
        </w:rPr>
        <w:t>2 (two) years</w:t>
      </w:r>
      <w:r w:rsidRPr="002606DA">
        <w:rPr>
          <w:sz w:val="24"/>
        </w:rPr>
        <w:t xml:space="preserve"> of experience in World Bank or equivalent development institutions/organizations (IFC, EBRD, etc.) projects.</w:t>
      </w:r>
    </w:p>
    <w:p w14:paraId="4238C2AB" w14:textId="0E71115D" w:rsidR="001A309F" w:rsidRPr="002606DA" w:rsidRDefault="001A309F" w:rsidP="009D6837">
      <w:pPr>
        <w:tabs>
          <w:tab w:val="left" w:pos="836"/>
        </w:tabs>
        <w:spacing w:before="35"/>
        <w:jc w:val="both"/>
        <w:rPr>
          <w:sz w:val="24"/>
        </w:rPr>
      </w:pPr>
    </w:p>
    <w:p w14:paraId="3DD52EDF" w14:textId="1FD7051E" w:rsidR="001A309F" w:rsidRPr="00BF2996" w:rsidRDefault="001A309F" w:rsidP="00BF2996">
      <w:pPr>
        <w:pStyle w:val="GvdeMetni"/>
        <w:spacing w:before="49"/>
        <w:ind w:left="142"/>
        <w:rPr>
          <w:b/>
          <w:bCs/>
        </w:rPr>
      </w:pPr>
      <w:r w:rsidRPr="009D6837">
        <w:rPr>
          <w:b/>
          <w:bCs/>
        </w:rPr>
        <w:t>Languages</w:t>
      </w:r>
    </w:p>
    <w:p w14:paraId="7F75A23B" w14:textId="77777777" w:rsidR="001A309F" w:rsidRPr="009D6837" w:rsidRDefault="001A309F" w:rsidP="009D6837">
      <w:pPr>
        <w:pStyle w:val="ListeParagraf"/>
        <w:numPr>
          <w:ilvl w:val="0"/>
          <w:numId w:val="1"/>
        </w:numPr>
        <w:tabs>
          <w:tab w:val="left" w:pos="836"/>
        </w:tabs>
        <w:spacing w:before="35"/>
        <w:ind w:left="836" w:hanging="360"/>
        <w:jc w:val="both"/>
        <w:rPr>
          <w:sz w:val="24"/>
        </w:rPr>
      </w:pPr>
      <w:r w:rsidRPr="009D6837">
        <w:rPr>
          <w:sz w:val="24"/>
        </w:rPr>
        <w:t xml:space="preserve">Proving English proficiency with the score obtained from one of the exams below (No </w:t>
      </w:r>
      <w:r w:rsidRPr="002606DA">
        <w:rPr>
          <w:sz w:val="24"/>
        </w:rPr>
        <w:t>validity</w:t>
      </w:r>
      <w:r w:rsidRPr="009D6837">
        <w:rPr>
          <w:sz w:val="24"/>
        </w:rPr>
        <w:t xml:space="preserve"> period is required for the scores obtained from the exams specified in the table).</w:t>
      </w:r>
    </w:p>
    <w:p w14:paraId="5EDDA3FF" w14:textId="77777777" w:rsidR="001A309F" w:rsidRPr="009D6837" w:rsidRDefault="001A309F" w:rsidP="001A309F">
      <w:pPr>
        <w:spacing w:after="120"/>
        <w:ind w:left="720"/>
        <w:jc w:val="both"/>
        <w:rPr>
          <w:rFonts w:eastAsia="Calibri"/>
        </w:rPr>
      </w:pPr>
    </w:p>
    <w:tbl>
      <w:tblPr>
        <w:tblW w:w="9347" w:type="dxa"/>
        <w:tblInd w:w="350" w:type="dxa"/>
        <w:tblLayout w:type="fixed"/>
        <w:tblCellMar>
          <w:left w:w="70" w:type="dxa"/>
          <w:right w:w="70" w:type="dxa"/>
        </w:tblCellMar>
        <w:tblLook w:val="04A0" w:firstRow="1" w:lastRow="0" w:firstColumn="1" w:lastColumn="0" w:noHBand="0" w:noVBand="1"/>
      </w:tblPr>
      <w:tblGrid>
        <w:gridCol w:w="2545"/>
        <w:gridCol w:w="1390"/>
        <w:gridCol w:w="1082"/>
        <w:gridCol w:w="1081"/>
        <w:gridCol w:w="1067"/>
        <w:gridCol w:w="689"/>
        <w:gridCol w:w="718"/>
        <w:gridCol w:w="775"/>
      </w:tblGrid>
      <w:tr w:rsidR="001A309F" w:rsidRPr="009D6837" w14:paraId="0A8EE2B8" w14:textId="77777777" w:rsidTr="0031742F">
        <w:trPr>
          <w:trHeight w:val="225"/>
        </w:trPr>
        <w:tc>
          <w:tcPr>
            <w:tcW w:w="2545" w:type="dxa"/>
            <w:vMerge w:val="restart"/>
            <w:tcBorders>
              <w:top w:val="single" w:sz="8" w:space="0" w:color="00000A"/>
              <w:left w:val="single" w:sz="8" w:space="0" w:color="00000A"/>
              <w:bottom w:val="single" w:sz="8" w:space="0" w:color="00000A"/>
              <w:right w:val="single" w:sz="8" w:space="0" w:color="00000A"/>
            </w:tcBorders>
            <w:vAlign w:val="center"/>
            <w:hideMark/>
          </w:tcPr>
          <w:p w14:paraId="77E9637F" w14:textId="77777777" w:rsidR="001A309F" w:rsidRPr="009D6837" w:rsidRDefault="001A309F" w:rsidP="0031742F">
            <w:pPr>
              <w:jc w:val="both"/>
              <w:rPr>
                <w:b/>
                <w:bCs/>
              </w:rPr>
            </w:pPr>
            <w:r w:rsidRPr="009D6837">
              <w:rPr>
                <w:b/>
                <w:bCs/>
              </w:rPr>
              <w:t>Exam Type</w:t>
            </w:r>
          </w:p>
        </w:tc>
        <w:tc>
          <w:tcPr>
            <w:tcW w:w="1390" w:type="dxa"/>
            <w:tcBorders>
              <w:top w:val="single" w:sz="8" w:space="0" w:color="00000A"/>
              <w:left w:val="nil"/>
              <w:bottom w:val="nil"/>
              <w:right w:val="single" w:sz="8" w:space="0" w:color="00000A"/>
            </w:tcBorders>
            <w:vAlign w:val="center"/>
            <w:hideMark/>
          </w:tcPr>
          <w:p w14:paraId="4F9AF4A0" w14:textId="77777777" w:rsidR="001A309F" w:rsidRPr="009D6837" w:rsidRDefault="001A309F" w:rsidP="0031742F">
            <w:pPr>
              <w:jc w:val="both"/>
              <w:rPr>
                <w:b/>
                <w:bCs/>
              </w:rPr>
            </w:pPr>
            <w:r w:rsidRPr="009D6837">
              <w:rPr>
                <w:b/>
                <w:bCs/>
              </w:rPr>
              <w:t>KPDS</w:t>
            </w:r>
          </w:p>
        </w:tc>
        <w:tc>
          <w:tcPr>
            <w:tcW w:w="1082" w:type="dxa"/>
            <w:vMerge w:val="restart"/>
            <w:tcBorders>
              <w:top w:val="single" w:sz="8" w:space="0" w:color="00000A"/>
              <w:left w:val="nil"/>
              <w:right w:val="single" w:sz="8" w:space="0" w:color="00000A"/>
            </w:tcBorders>
            <w:vAlign w:val="center"/>
            <w:hideMark/>
          </w:tcPr>
          <w:p w14:paraId="06A770C6" w14:textId="77777777" w:rsidR="001A309F" w:rsidRPr="009D6837" w:rsidRDefault="001A309F" w:rsidP="0031742F">
            <w:pPr>
              <w:jc w:val="both"/>
              <w:rPr>
                <w:b/>
                <w:bCs/>
              </w:rPr>
            </w:pPr>
            <w:r w:rsidRPr="009D6837">
              <w:rPr>
                <w:b/>
                <w:bCs/>
              </w:rPr>
              <w:t>TOEFL</w:t>
            </w:r>
          </w:p>
          <w:p w14:paraId="609E1CD1" w14:textId="77777777" w:rsidR="001A309F" w:rsidRPr="009D6837" w:rsidRDefault="001A309F" w:rsidP="0031742F">
            <w:pPr>
              <w:jc w:val="both"/>
              <w:rPr>
                <w:b/>
                <w:bCs/>
              </w:rPr>
            </w:pPr>
            <w:r w:rsidRPr="009D6837">
              <w:rPr>
                <w:b/>
                <w:bCs/>
              </w:rPr>
              <w:t>IBT</w:t>
            </w:r>
          </w:p>
        </w:tc>
        <w:tc>
          <w:tcPr>
            <w:tcW w:w="1081" w:type="dxa"/>
            <w:vMerge w:val="restart"/>
            <w:tcBorders>
              <w:top w:val="single" w:sz="8" w:space="0" w:color="00000A"/>
              <w:left w:val="nil"/>
              <w:right w:val="single" w:sz="8" w:space="0" w:color="00000A"/>
            </w:tcBorders>
            <w:vAlign w:val="center"/>
            <w:hideMark/>
          </w:tcPr>
          <w:p w14:paraId="2CC4634E" w14:textId="77777777" w:rsidR="001A309F" w:rsidRPr="009D6837" w:rsidRDefault="001A309F" w:rsidP="0031742F">
            <w:pPr>
              <w:jc w:val="both"/>
              <w:rPr>
                <w:b/>
                <w:bCs/>
              </w:rPr>
            </w:pPr>
            <w:r w:rsidRPr="009D6837">
              <w:rPr>
                <w:b/>
                <w:bCs/>
              </w:rPr>
              <w:t>TOEFL</w:t>
            </w:r>
          </w:p>
          <w:p w14:paraId="052277F6" w14:textId="77777777" w:rsidR="001A309F" w:rsidRPr="009D6837" w:rsidRDefault="001A309F" w:rsidP="0031742F">
            <w:pPr>
              <w:jc w:val="both"/>
              <w:rPr>
                <w:b/>
                <w:bCs/>
              </w:rPr>
            </w:pPr>
            <w:r w:rsidRPr="009D6837">
              <w:rPr>
                <w:b/>
                <w:bCs/>
              </w:rPr>
              <w:t>CBT</w:t>
            </w:r>
          </w:p>
        </w:tc>
        <w:tc>
          <w:tcPr>
            <w:tcW w:w="1067" w:type="dxa"/>
            <w:vMerge w:val="restart"/>
            <w:tcBorders>
              <w:top w:val="single" w:sz="8" w:space="0" w:color="00000A"/>
              <w:left w:val="nil"/>
              <w:right w:val="single" w:sz="8" w:space="0" w:color="00000A"/>
            </w:tcBorders>
            <w:vAlign w:val="center"/>
            <w:hideMark/>
          </w:tcPr>
          <w:p w14:paraId="1660DCEE" w14:textId="77777777" w:rsidR="001A309F" w:rsidRPr="009D6837" w:rsidRDefault="001A309F" w:rsidP="0031742F">
            <w:pPr>
              <w:jc w:val="both"/>
              <w:rPr>
                <w:b/>
                <w:bCs/>
              </w:rPr>
            </w:pPr>
            <w:r w:rsidRPr="009D6837">
              <w:rPr>
                <w:b/>
                <w:bCs/>
              </w:rPr>
              <w:t>TOEFL</w:t>
            </w:r>
          </w:p>
          <w:p w14:paraId="1D0851A8" w14:textId="77777777" w:rsidR="001A309F" w:rsidRPr="009D6837" w:rsidRDefault="001A309F" w:rsidP="0031742F">
            <w:pPr>
              <w:jc w:val="both"/>
              <w:rPr>
                <w:b/>
                <w:bCs/>
              </w:rPr>
            </w:pPr>
            <w:r w:rsidRPr="009D6837">
              <w:rPr>
                <w:b/>
                <w:bCs/>
              </w:rPr>
              <w:t>PBT</w:t>
            </w:r>
          </w:p>
        </w:tc>
        <w:tc>
          <w:tcPr>
            <w:tcW w:w="689" w:type="dxa"/>
            <w:vMerge w:val="restart"/>
            <w:tcBorders>
              <w:top w:val="single" w:sz="8" w:space="0" w:color="00000A"/>
              <w:left w:val="single" w:sz="8" w:space="0" w:color="00000A"/>
              <w:bottom w:val="single" w:sz="8" w:space="0" w:color="00000A"/>
              <w:right w:val="single" w:sz="8" w:space="0" w:color="00000A"/>
            </w:tcBorders>
            <w:vAlign w:val="center"/>
            <w:hideMark/>
          </w:tcPr>
          <w:p w14:paraId="63316089" w14:textId="77777777" w:rsidR="001A309F" w:rsidRPr="009D6837" w:rsidRDefault="001A309F" w:rsidP="0031742F">
            <w:pPr>
              <w:jc w:val="both"/>
              <w:rPr>
                <w:b/>
                <w:bCs/>
              </w:rPr>
            </w:pPr>
            <w:r w:rsidRPr="009D6837">
              <w:rPr>
                <w:b/>
                <w:bCs/>
              </w:rPr>
              <w:t>FCE</w:t>
            </w:r>
          </w:p>
        </w:tc>
        <w:tc>
          <w:tcPr>
            <w:tcW w:w="718" w:type="dxa"/>
            <w:vMerge w:val="restart"/>
            <w:tcBorders>
              <w:top w:val="single" w:sz="8" w:space="0" w:color="00000A"/>
              <w:left w:val="single" w:sz="8" w:space="0" w:color="00000A"/>
              <w:bottom w:val="single" w:sz="8" w:space="0" w:color="00000A"/>
              <w:right w:val="single" w:sz="8" w:space="0" w:color="00000A"/>
            </w:tcBorders>
            <w:vAlign w:val="center"/>
            <w:hideMark/>
          </w:tcPr>
          <w:p w14:paraId="7851650C" w14:textId="77777777" w:rsidR="001A309F" w:rsidRPr="009D6837" w:rsidRDefault="001A309F" w:rsidP="0031742F">
            <w:pPr>
              <w:jc w:val="both"/>
              <w:rPr>
                <w:b/>
                <w:bCs/>
              </w:rPr>
            </w:pPr>
            <w:r w:rsidRPr="009D6837">
              <w:rPr>
                <w:b/>
                <w:bCs/>
              </w:rPr>
              <w:t>CAE</w:t>
            </w:r>
          </w:p>
        </w:tc>
        <w:tc>
          <w:tcPr>
            <w:tcW w:w="775" w:type="dxa"/>
            <w:vMerge w:val="restart"/>
            <w:tcBorders>
              <w:top w:val="single" w:sz="8" w:space="0" w:color="00000A"/>
              <w:left w:val="single" w:sz="8" w:space="0" w:color="00000A"/>
              <w:bottom w:val="single" w:sz="8" w:space="0" w:color="00000A"/>
              <w:right w:val="single" w:sz="8" w:space="0" w:color="00000A"/>
            </w:tcBorders>
            <w:vAlign w:val="center"/>
            <w:hideMark/>
          </w:tcPr>
          <w:p w14:paraId="659E722C" w14:textId="77777777" w:rsidR="001A309F" w:rsidRPr="009D6837" w:rsidRDefault="001A309F" w:rsidP="0031742F">
            <w:pPr>
              <w:jc w:val="both"/>
              <w:rPr>
                <w:b/>
                <w:bCs/>
              </w:rPr>
            </w:pPr>
            <w:r w:rsidRPr="009D6837">
              <w:rPr>
                <w:b/>
                <w:bCs/>
              </w:rPr>
              <w:t>CPE</w:t>
            </w:r>
          </w:p>
        </w:tc>
      </w:tr>
      <w:tr w:rsidR="001A309F" w:rsidRPr="009D6837" w14:paraId="56B36E84" w14:textId="77777777" w:rsidTr="0031742F">
        <w:trPr>
          <w:trHeight w:val="225"/>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269C736E" w14:textId="77777777" w:rsidR="001A309F" w:rsidRPr="009D6837" w:rsidRDefault="001A309F" w:rsidP="0031742F">
            <w:pPr>
              <w:jc w:val="both"/>
              <w:rPr>
                <w:b/>
                <w:bCs/>
              </w:rPr>
            </w:pPr>
          </w:p>
        </w:tc>
        <w:tc>
          <w:tcPr>
            <w:tcW w:w="1390" w:type="dxa"/>
            <w:tcBorders>
              <w:top w:val="nil"/>
              <w:left w:val="nil"/>
              <w:bottom w:val="nil"/>
              <w:right w:val="single" w:sz="8" w:space="0" w:color="00000A"/>
            </w:tcBorders>
            <w:vAlign w:val="center"/>
            <w:hideMark/>
          </w:tcPr>
          <w:p w14:paraId="5B04FA7B" w14:textId="77777777" w:rsidR="001A309F" w:rsidRPr="009D6837" w:rsidRDefault="001A309F" w:rsidP="0031742F">
            <w:pPr>
              <w:jc w:val="both"/>
              <w:rPr>
                <w:b/>
                <w:bCs/>
              </w:rPr>
            </w:pPr>
            <w:r w:rsidRPr="009D6837">
              <w:rPr>
                <w:b/>
                <w:bCs/>
              </w:rPr>
              <w:t>UDS</w:t>
            </w:r>
          </w:p>
        </w:tc>
        <w:tc>
          <w:tcPr>
            <w:tcW w:w="1082" w:type="dxa"/>
            <w:vMerge/>
            <w:tcBorders>
              <w:left w:val="nil"/>
              <w:right w:val="single" w:sz="8" w:space="0" w:color="00000A"/>
            </w:tcBorders>
            <w:vAlign w:val="center"/>
            <w:hideMark/>
          </w:tcPr>
          <w:p w14:paraId="690A3160" w14:textId="77777777" w:rsidR="001A309F" w:rsidRPr="009D6837" w:rsidRDefault="001A309F" w:rsidP="0031742F">
            <w:pPr>
              <w:jc w:val="both"/>
              <w:rPr>
                <w:b/>
                <w:bCs/>
              </w:rPr>
            </w:pPr>
          </w:p>
        </w:tc>
        <w:tc>
          <w:tcPr>
            <w:tcW w:w="1081" w:type="dxa"/>
            <w:vMerge/>
            <w:tcBorders>
              <w:left w:val="nil"/>
              <w:right w:val="single" w:sz="8" w:space="0" w:color="00000A"/>
            </w:tcBorders>
            <w:vAlign w:val="center"/>
            <w:hideMark/>
          </w:tcPr>
          <w:p w14:paraId="471510E8" w14:textId="77777777" w:rsidR="001A309F" w:rsidRPr="009D6837" w:rsidRDefault="001A309F" w:rsidP="0031742F">
            <w:pPr>
              <w:jc w:val="both"/>
              <w:rPr>
                <w:b/>
                <w:bCs/>
              </w:rPr>
            </w:pPr>
          </w:p>
        </w:tc>
        <w:tc>
          <w:tcPr>
            <w:tcW w:w="1067" w:type="dxa"/>
            <w:vMerge/>
            <w:tcBorders>
              <w:left w:val="nil"/>
              <w:right w:val="single" w:sz="8" w:space="0" w:color="00000A"/>
            </w:tcBorders>
            <w:vAlign w:val="center"/>
            <w:hideMark/>
          </w:tcPr>
          <w:p w14:paraId="0E3676BE" w14:textId="77777777" w:rsidR="001A309F" w:rsidRPr="009D6837" w:rsidRDefault="001A309F" w:rsidP="0031742F">
            <w:pPr>
              <w:jc w:val="both"/>
              <w:rPr>
                <w:b/>
                <w:bCs/>
              </w:rPr>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5A75FE0F" w14:textId="77777777" w:rsidR="001A309F" w:rsidRPr="009D6837" w:rsidRDefault="001A309F"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7BA077A3" w14:textId="77777777" w:rsidR="001A309F" w:rsidRPr="009D6837" w:rsidRDefault="001A309F"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561AA186" w14:textId="77777777" w:rsidR="001A309F" w:rsidRPr="009D6837" w:rsidRDefault="001A309F" w:rsidP="0031742F">
            <w:pPr>
              <w:jc w:val="both"/>
              <w:rPr>
                <w:b/>
                <w:bCs/>
              </w:rPr>
            </w:pPr>
          </w:p>
        </w:tc>
      </w:tr>
      <w:tr w:rsidR="001A309F" w:rsidRPr="009D6837" w14:paraId="055FBFA3" w14:textId="77777777" w:rsidTr="0031742F">
        <w:trPr>
          <w:trHeight w:val="225"/>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3CA399D1" w14:textId="77777777" w:rsidR="001A309F" w:rsidRPr="009D6837" w:rsidRDefault="001A309F" w:rsidP="0031742F">
            <w:pPr>
              <w:jc w:val="both"/>
              <w:rPr>
                <w:b/>
                <w:bCs/>
              </w:rPr>
            </w:pPr>
          </w:p>
        </w:tc>
        <w:tc>
          <w:tcPr>
            <w:tcW w:w="1390" w:type="dxa"/>
            <w:tcBorders>
              <w:top w:val="nil"/>
              <w:left w:val="nil"/>
              <w:bottom w:val="nil"/>
              <w:right w:val="single" w:sz="8" w:space="0" w:color="00000A"/>
            </w:tcBorders>
            <w:vAlign w:val="center"/>
            <w:hideMark/>
          </w:tcPr>
          <w:p w14:paraId="6B50B4EC" w14:textId="77777777" w:rsidR="001A309F" w:rsidRPr="009D6837" w:rsidRDefault="001A309F" w:rsidP="0031742F">
            <w:pPr>
              <w:jc w:val="both"/>
              <w:rPr>
                <w:b/>
                <w:bCs/>
              </w:rPr>
            </w:pPr>
            <w:r w:rsidRPr="009D6837">
              <w:rPr>
                <w:b/>
                <w:bCs/>
              </w:rPr>
              <w:t>YDS</w:t>
            </w:r>
          </w:p>
        </w:tc>
        <w:tc>
          <w:tcPr>
            <w:tcW w:w="1082" w:type="dxa"/>
            <w:vMerge/>
            <w:tcBorders>
              <w:left w:val="nil"/>
              <w:right w:val="single" w:sz="8" w:space="0" w:color="00000A"/>
            </w:tcBorders>
            <w:vAlign w:val="center"/>
            <w:hideMark/>
          </w:tcPr>
          <w:p w14:paraId="1239C550" w14:textId="77777777" w:rsidR="001A309F" w:rsidRPr="009D6837" w:rsidRDefault="001A309F" w:rsidP="0031742F">
            <w:pPr>
              <w:jc w:val="both"/>
              <w:rPr>
                <w:b/>
                <w:bCs/>
              </w:rPr>
            </w:pPr>
          </w:p>
        </w:tc>
        <w:tc>
          <w:tcPr>
            <w:tcW w:w="1081" w:type="dxa"/>
            <w:vMerge/>
            <w:tcBorders>
              <w:left w:val="nil"/>
              <w:right w:val="single" w:sz="8" w:space="0" w:color="00000A"/>
            </w:tcBorders>
            <w:vAlign w:val="center"/>
            <w:hideMark/>
          </w:tcPr>
          <w:p w14:paraId="4D53400A" w14:textId="77777777" w:rsidR="001A309F" w:rsidRPr="009D6837" w:rsidRDefault="001A309F" w:rsidP="0031742F">
            <w:pPr>
              <w:jc w:val="both"/>
              <w:rPr>
                <w:b/>
                <w:bCs/>
              </w:rPr>
            </w:pPr>
          </w:p>
        </w:tc>
        <w:tc>
          <w:tcPr>
            <w:tcW w:w="1067" w:type="dxa"/>
            <w:vMerge/>
            <w:tcBorders>
              <w:left w:val="nil"/>
              <w:right w:val="single" w:sz="8" w:space="0" w:color="00000A"/>
            </w:tcBorders>
            <w:vAlign w:val="center"/>
            <w:hideMark/>
          </w:tcPr>
          <w:p w14:paraId="0DCC9F65" w14:textId="77777777" w:rsidR="001A309F" w:rsidRPr="009D6837" w:rsidRDefault="001A309F" w:rsidP="0031742F">
            <w:pPr>
              <w:jc w:val="both"/>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7E0B9E69" w14:textId="77777777" w:rsidR="001A309F" w:rsidRPr="009D6837" w:rsidRDefault="001A309F"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1EC90F3E" w14:textId="77777777" w:rsidR="001A309F" w:rsidRPr="009D6837" w:rsidRDefault="001A309F"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225A82FC" w14:textId="77777777" w:rsidR="001A309F" w:rsidRPr="009D6837" w:rsidRDefault="001A309F" w:rsidP="0031742F">
            <w:pPr>
              <w:jc w:val="both"/>
              <w:rPr>
                <w:b/>
                <w:bCs/>
              </w:rPr>
            </w:pPr>
          </w:p>
        </w:tc>
      </w:tr>
      <w:tr w:rsidR="001A309F" w:rsidRPr="009D6837" w14:paraId="2524F542" w14:textId="77777777" w:rsidTr="0031742F">
        <w:trPr>
          <w:trHeight w:val="236"/>
        </w:trPr>
        <w:tc>
          <w:tcPr>
            <w:tcW w:w="2545" w:type="dxa"/>
            <w:vMerge/>
            <w:tcBorders>
              <w:top w:val="single" w:sz="8" w:space="0" w:color="00000A"/>
              <w:left w:val="single" w:sz="8" w:space="0" w:color="00000A"/>
              <w:bottom w:val="single" w:sz="8" w:space="0" w:color="00000A"/>
              <w:right w:val="single" w:sz="8" w:space="0" w:color="00000A"/>
            </w:tcBorders>
            <w:vAlign w:val="center"/>
            <w:hideMark/>
          </w:tcPr>
          <w:p w14:paraId="45478BA2" w14:textId="77777777" w:rsidR="001A309F" w:rsidRPr="009D6837" w:rsidRDefault="001A309F" w:rsidP="0031742F">
            <w:pPr>
              <w:jc w:val="both"/>
              <w:rPr>
                <w:b/>
                <w:bCs/>
              </w:rPr>
            </w:pPr>
          </w:p>
        </w:tc>
        <w:tc>
          <w:tcPr>
            <w:tcW w:w="1390" w:type="dxa"/>
            <w:tcBorders>
              <w:top w:val="nil"/>
              <w:left w:val="nil"/>
              <w:bottom w:val="single" w:sz="8" w:space="0" w:color="00000A"/>
              <w:right w:val="single" w:sz="8" w:space="0" w:color="00000A"/>
            </w:tcBorders>
            <w:vAlign w:val="center"/>
            <w:hideMark/>
          </w:tcPr>
          <w:p w14:paraId="64C4A143" w14:textId="77777777" w:rsidR="001A309F" w:rsidRPr="009D6837" w:rsidRDefault="001A309F" w:rsidP="0031742F">
            <w:pPr>
              <w:jc w:val="both"/>
              <w:rPr>
                <w:b/>
                <w:bCs/>
              </w:rPr>
            </w:pPr>
            <w:r w:rsidRPr="009D6837">
              <w:rPr>
                <w:b/>
                <w:bCs/>
              </w:rPr>
              <w:t>YÖKDİL</w:t>
            </w:r>
          </w:p>
        </w:tc>
        <w:tc>
          <w:tcPr>
            <w:tcW w:w="1082" w:type="dxa"/>
            <w:vMerge/>
            <w:tcBorders>
              <w:left w:val="nil"/>
              <w:bottom w:val="single" w:sz="8" w:space="0" w:color="00000A"/>
              <w:right w:val="single" w:sz="8" w:space="0" w:color="00000A"/>
            </w:tcBorders>
            <w:vAlign w:val="center"/>
            <w:hideMark/>
          </w:tcPr>
          <w:p w14:paraId="666B7841" w14:textId="77777777" w:rsidR="001A309F" w:rsidRPr="009D6837" w:rsidRDefault="001A309F" w:rsidP="0031742F">
            <w:pPr>
              <w:jc w:val="both"/>
            </w:pPr>
          </w:p>
        </w:tc>
        <w:tc>
          <w:tcPr>
            <w:tcW w:w="1081" w:type="dxa"/>
            <w:vMerge/>
            <w:tcBorders>
              <w:left w:val="nil"/>
              <w:bottom w:val="single" w:sz="8" w:space="0" w:color="00000A"/>
              <w:right w:val="single" w:sz="8" w:space="0" w:color="00000A"/>
            </w:tcBorders>
            <w:vAlign w:val="center"/>
            <w:hideMark/>
          </w:tcPr>
          <w:p w14:paraId="43F14B8D" w14:textId="77777777" w:rsidR="001A309F" w:rsidRPr="009D6837" w:rsidRDefault="001A309F" w:rsidP="0031742F">
            <w:pPr>
              <w:jc w:val="both"/>
            </w:pPr>
          </w:p>
        </w:tc>
        <w:tc>
          <w:tcPr>
            <w:tcW w:w="1067" w:type="dxa"/>
            <w:vMerge/>
            <w:tcBorders>
              <w:left w:val="nil"/>
              <w:bottom w:val="single" w:sz="8" w:space="0" w:color="00000A"/>
              <w:right w:val="single" w:sz="8" w:space="0" w:color="00000A"/>
            </w:tcBorders>
            <w:vAlign w:val="center"/>
            <w:hideMark/>
          </w:tcPr>
          <w:p w14:paraId="1AEC3651" w14:textId="77777777" w:rsidR="001A309F" w:rsidRPr="009D6837" w:rsidRDefault="001A309F" w:rsidP="0031742F">
            <w:pPr>
              <w:jc w:val="both"/>
            </w:pPr>
          </w:p>
        </w:tc>
        <w:tc>
          <w:tcPr>
            <w:tcW w:w="689" w:type="dxa"/>
            <w:vMerge/>
            <w:tcBorders>
              <w:top w:val="single" w:sz="8" w:space="0" w:color="00000A"/>
              <w:left w:val="single" w:sz="8" w:space="0" w:color="00000A"/>
              <w:bottom w:val="single" w:sz="8" w:space="0" w:color="00000A"/>
              <w:right w:val="single" w:sz="8" w:space="0" w:color="00000A"/>
            </w:tcBorders>
            <w:vAlign w:val="center"/>
            <w:hideMark/>
          </w:tcPr>
          <w:p w14:paraId="72EC8FF3" w14:textId="77777777" w:rsidR="001A309F" w:rsidRPr="009D6837" w:rsidRDefault="001A309F" w:rsidP="0031742F">
            <w:pPr>
              <w:jc w:val="both"/>
              <w:rPr>
                <w:b/>
                <w:bCs/>
              </w:rPr>
            </w:pPr>
          </w:p>
        </w:tc>
        <w:tc>
          <w:tcPr>
            <w:tcW w:w="718" w:type="dxa"/>
            <w:vMerge/>
            <w:tcBorders>
              <w:top w:val="single" w:sz="8" w:space="0" w:color="00000A"/>
              <w:left w:val="single" w:sz="8" w:space="0" w:color="00000A"/>
              <w:bottom w:val="single" w:sz="8" w:space="0" w:color="00000A"/>
              <w:right w:val="single" w:sz="8" w:space="0" w:color="00000A"/>
            </w:tcBorders>
            <w:vAlign w:val="center"/>
            <w:hideMark/>
          </w:tcPr>
          <w:p w14:paraId="785B44E6" w14:textId="77777777" w:rsidR="001A309F" w:rsidRPr="009D6837" w:rsidRDefault="001A309F" w:rsidP="0031742F">
            <w:pPr>
              <w:jc w:val="both"/>
              <w:rPr>
                <w:b/>
                <w:bCs/>
              </w:rPr>
            </w:pPr>
          </w:p>
        </w:tc>
        <w:tc>
          <w:tcPr>
            <w:tcW w:w="775" w:type="dxa"/>
            <w:vMerge/>
            <w:tcBorders>
              <w:top w:val="single" w:sz="8" w:space="0" w:color="00000A"/>
              <w:left w:val="single" w:sz="8" w:space="0" w:color="00000A"/>
              <w:bottom w:val="single" w:sz="8" w:space="0" w:color="00000A"/>
              <w:right w:val="single" w:sz="8" w:space="0" w:color="00000A"/>
            </w:tcBorders>
            <w:vAlign w:val="center"/>
            <w:hideMark/>
          </w:tcPr>
          <w:p w14:paraId="606F33D9" w14:textId="77777777" w:rsidR="001A309F" w:rsidRPr="009D6837" w:rsidRDefault="001A309F" w:rsidP="0031742F">
            <w:pPr>
              <w:jc w:val="both"/>
              <w:rPr>
                <w:b/>
                <w:bCs/>
              </w:rPr>
            </w:pPr>
          </w:p>
        </w:tc>
      </w:tr>
      <w:tr w:rsidR="001A309F" w:rsidRPr="009D6837" w14:paraId="2AA867B3" w14:textId="77777777" w:rsidTr="0031742F">
        <w:trPr>
          <w:trHeight w:val="368"/>
        </w:trPr>
        <w:tc>
          <w:tcPr>
            <w:tcW w:w="2545" w:type="dxa"/>
            <w:tcBorders>
              <w:top w:val="nil"/>
              <w:left w:val="single" w:sz="8" w:space="0" w:color="00000A"/>
              <w:bottom w:val="single" w:sz="8" w:space="0" w:color="00000A"/>
              <w:right w:val="single" w:sz="8" w:space="0" w:color="00000A"/>
            </w:tcBorders>
            <w:vAlign w:val="center"/>
            <w:hideMark/>
          </w:tcPr>
          <w:p w14:paraId="15E1AE42" w14:textId="3E5480F7" w:rsidR="001A309F" w:rsidRPr="009D6837" w:rsidRDefault="00BF2996" w:rsidP="0031742F">
            <w:pPr>
              <w:jc w:val="both"/>
              <w:rPr>
                <w:b/>
                <w:bCs/>
                <w:sz w:val="20"/>
                <w:szCs w:val="20"/>
              </w:rPr>
            </w:pPr>
            <w:r>
              <w:rPr>
                <w:b/>
                <w:bCs/>
                <w:sz w:val="20"/>
                <w:szCs w:val="20"/>
              </w:rPr>
              <w:t>Required Minimum Score</w:t>
            </w:r>
          </w:p>
        </w:tc>
        <w:tc>
          <w:tcPr>
            <w:tcW w:w="1390" w:type="dxa"/>
            <w:tcBorders>
              <w:top w:val="nil"/>
              <w:left w:val="nil"/>
              <w:bottom w:val="single" w:sz="8" w:space="0" w:color="00000A"/>
              <w:right w:val="single" w:sz="8" w:space="0" w:color="00000A"/>
            </w:tcBorders>
            <w:vAlign w:val="center"/>
            <w:hideMark/>
          </w:tcPr>
          <w:p w14:paraId="0DE6E62F" w14:textId="33CEE321" w:rsidR="001A309F" w:rsidRPr="009D6837" w:rsidRDefault="001A309F" w:rsidP="0031742F">
            <w:pPr>
              <w:jc w:val="both"/>
            </w:pPr>
            <w:r w:rsidRPr="009D6837">
              <w:t>80</w:t>
            </w:r>
          </w:p>
        </w:tc>
        <w:tc>
          <w:tcPr>
            <w:tcW w:w="1082" w:type="dxa"/>
            <w:tcBorders>
              <w:top w:val="nil"/>
              <w:left w:val="nil"/>
              <w:bottom w:val="single" w:sz="8" w:space="0" w:color="00000A"/>
              <w:right w:val="single" w:sz="8" w:space="0" w:color="00000A"/>
            </w:tcBorders>
            <w:vAlign w:val="center"/>
            <w:hideMark/>
          </w:tcPr>
          <w:p w14:paraId="6E194222" w14:textId="26DEA1C1" w:rsidR="001A309F" w:rsidRPr="009D6837" w:rsidRDefault="001A309F" w:rsidP="0031742F">
            <w:pPr>
              <w:jc w:val="both"/>
            </w:pPr>
            <w:r w:rsidRPr="009D6837">
              <w:t>96</w:t>
            </w:r>
          </w:p>
        </w:tc>
        <w:tc>
          <w:tcPr>
            <w:tcW w:w="1081" w:type="dxa"/>
            <w:tcBorders>
              <w:top w:val="nil"/>
              <w:left w:val="nil"/>
              <w:bottom w:val="single" w:sz="8" w:space="0" w:color="00000A"/>
              <w:right w:val="single" w:sz="8" w:space="0" w:color="00000A"/>
            </w:tcBorders>
            <w:vAlign w:val="center"/>
            <w:hideMark/>
          </w:tcPr>
          <w:p w14:paraId="5A0B00DF" w14:textId="387816D4" w:rsidR="001A309F" w:rsidRPr="009D6837" w:rsidRDefault="001A309F" w:rsidP="0031742F">
            <w:pPr>
              <w:jc w:val="both"/>
            </w:pPr>
            <w:r w:rsidRPr="009D6837">
              <w:t>241</w:t>
            </w:r>
          </w:p>
        </w:tc>
        <w:tc>
          <w:tcPr>
            <w:tcW w:w="1067" w:type="dxa"/>
            <w:tcBorders>
              <w:top w:val="nil"/>
              <w:left w:val="nil"/>
              <w:bottom w:val="single" w:sz="8" w:space="0" w:color="00000A"/>
              <w:right w:val="single" w:sz="8" w:space="0" w:color="00000A"/>
            </w:tcBorders>
            <w:vAlign w:val="center"/>
            <w:hideMark/>
          </w:tcPr>
          <w:p w14:paraId="732D41DA" w14:textId="7C1A6AEA" w:rsidR="001A309F" w:rsidRPr="009D6837" w:rsidRDefault="001A309F" w:rsidP="0031742F">
            <w:pPr>
              <w:jc w:val="both"/>
            </w:pPr>
            <w:r w:rsidRPr="009D6837">
              <w:t>588</w:t>
            </w:r>
          </w:p>
        </w:tc>
        <w:tc>
          <w:tcPr>
            <w:tcW w:w="689" w:type="dxa"/>
            <w:tcBorders>
              <w:top w:val="nil"/>
              <w:left w:val="nil"/>
              <w:bottom w:val="single" w:sz="8" w:space="0" w:color="00000A"/>
              <w:right w:val="single" w:sz="8" w:space="0" w:color="00000A"/>
            </w:tcBorders>
            <w:vAlign w:val="center"/>
            <w:hideMark/>
          </w:tcPr>
          <w:p w14:paraId="2A44360B" w14:textId="77777777" w:rsidR="001A309F" w:rsidRPr="009D6837" w:rsidRDefault="001A309F" w:rsidP="0031742F">
            <w:pPr>
              <w:jc w:val="both"/>
            </w:pPr>
            <w:r w:rsidRPr="009D6837">
              <w:t>C</w:t>
            </w:r>
          </w:p>
        </w:tc>
        <w:tc>
          <w:tcPr>
            <w:tcW w:w="718" w:type="dxa"/>
            <w:tcBorders>
              <w:top w:val="nil"/>
              <w:left w:val="nil"/>
              <w:bottom w:val="single" w:sz="8" w:space="0" w:color="00000A"/>
              <w:right w:val="single" w:sz="8" w:space="0" w:color="00000A"/>
            </w:tcBorders>
            <w:vAlign w:val="center"/>
            <w:hideMark/>
          </w:tcPr>
          <w:p w14:paraId="15DA0290" w14:textId="5B863E62" w:rsidR="001A309F" w:rsidRPr="009D6837" w:rsidRDefault="001A309F" w:rsidP="0031742F">
            <w:pPr>
              <w:jc w:val="both"/>
            </w:pPr>
            <w:r w:rsidRPr="009D6837">
              <w:t>A</w:t>
            </w:r>
          </w:p>
        </w:tc>
        <w:tc>
          <w:tcPr>
            <w:tcW w:w="775" w:type="dxa"/>
            <w:tcBorders>
              <w:top w:val="nil"/>
              <w:left w:val="nil"/>
              <w:bottom w:val="single" w:sz="8" w:space="0" w:color="00000A"/>
              <w:right w:val="single" w:sz="8" w:space="0" w:color="00000A"/>
            </w:tcBorders>
            <w:vAlign w:val="center"/>
            <w:hideMark/>
          </w:tcPr>
          <w:p w14:paraId="67A11B7D" w14:textId="77777777" w:rsidR="001A309F" w:rsidRPr="009D6837" w:rsidRDefault="001A309F" w:rsidP="0031742F">
            <w:pPr>
              <w:jc w:val="both"/>
            </w:pPr>
            <w:r w:rsidRPr="009D6837">
              <w:t>C</w:t>
            </w:r>
          </w:p>
        </w:tc>
      </w:tr>
      <w:tr w:rsidR="001A309F" w:rsidRPr="009D6837" w14:paraId="02758A19" w14:textId="77777777" w:rsidTr="0031742F">
        <w:trPr>
          <w:trHeight w:val="805"/>
        </w:trPr>
        <w:tc>
          <w:tcPr>
            <w:tcW w:w="9347" w:type="dxa"/>
            <w:gridSpan w:val="8"/>
            <w:tcBorders>
              <w:top w:val="single" w:sz="8" w:space="0" w:color="00000A"/>
              <w:left w:val="single" w:sz="8" w:space="0" w:color="00000A"/>
              <w:bottom w:val="nil"/>
              <w:right w:val="single" w:sz="8" w:space="0" w:color="00000A"/>
            </w:tcBorders>
            <w:vAlign w:val="center"/>
            <w:hideMark/>
          </w:tcPr>
          <w:p w14:paraId="199EF6FA" w14:textId="77777777" w:rsidR="001A309F" w:rsidRPr="009D6837" w:rsidRDefault="001A309F" w:rsidP="001A309F">
            <w:pPr>
              <w:pStyle w:val="ListeParagraf"/>
              <w:widowControl/>
              <w:numPr>
                <w:ilvl w:val="0"/>
                <w:numId w:val="8"/>
              </w:numPr>
              <w:autoSpaceDE/>
              <w:autoSpaceDN/>
              <w:contextualSpacing/>
              <w:jc w:val="both"/>
              <w:rPr>
                <w:sz w:val="18"/>
                <w:szCs w:val="18"/>
              </w:rPr>
            </w:pPr>
            <w:r w:rsidRPr="009D6837">
              <w:rPr>
                <w:sz w:val="18"/>
                <w:szCs w:val="20"/>
              </w:rPr>
              <w:t>An English proficiency score is not required from candidates who prove that they took 100% of all courses in English during their undergraduate education (approved document from the University), except for courses that are not related to the main field such as Turkish, History of Revolution.</w:t>
            </w:r>
          </w:p>
        </w:tc>
      </w:tr>
      <w:tr w:rsidR="001A309F" w:rsidRPr="009D6837" w14:paraId="0D0A99ED" w14:textId="77777777" w:rsidTr="0031742F">
        <w:trPr>
          <w:trHeight w:val="593"/>
        </w:trPr>
        <w:tc>
          <w:tcPr>
            <w:tcW w:w="9347" w:type="dxa"/>
            <w:gridSpan w:val="8"/>
            <w:tcBorders>
              <w:top w:val="nil"/>
              <w:left w:val="single" w:sz="8" w:space="0" w:color="00000A"/>
              <w:bottom w:val="single" w:sz="8" w:space="0" w:color="00000A"/>
              <w:right w:val="single" w:sz="8" w:space="0" w:color="00000A"/>
            </w:tcBorders>
            <w:vAlign w:val="center"/>
            <w:hideMark/>
          </w:tcPr>
          <w:p w14:paraId="723F9A2D" w14:textId="77777777" w:rsidR="001A309F" w:rsidRPr="009D6837" w:rsidRDefault="001A309F" w:rsidP="001A309F">
            <w:pPr>
              <w:pStyle w:val="ListeParagraf"/>
              <w:widowControl/>
              <w:numPr>
                <w:ilvl w:val="0"/>
                <w:numId w:val="8"/>
              </w:numPr>
              <w:autoSpaceDE/>
              <w:autoSpaceDN/>
              <w:contextualSpacing/>
              <w:jc w:val="both"/>
              <w:rPr>
                <w:sz w:val="18"/>
                <w:szCs w:val="18"/>
              </w:rPr>
            </w:pPr>
            <w:r w:rsidRPr="009D6837">
              <w:rPr>
                <w:sz w:val="18"/>
                <w:szCs w:val="20"/>
              </w:rPr>
              <w:t>In a country where the official language is English; English proficiency score is not required for those who have received a bachelor's or master's degree.</w:t>
            </w:r>
          </w:p>
        </w:tc>
      </w:tr>
    </w:tbl>
    <w:p w14:paraId="6ABFE0F4" w14:textId="77777777" w:rsidR="001A309F" w:rsidRPr="009D6837" w:rsidRDefault="001A309F" w:rsidP="001A309F">
      <w:pPr>
        <w:jc w:val="both"/>
        <w:rPr>
          <w:rFonts w:eastAsia="Calibri"/>
          <w:sz w:val="18"/>
        </w:rPr>
      </w:pPr>
    </w:p>
    <w:p w14:paraId="5E25D1E5" w14:textId="77777777" w:rsidR="001A309F" w:rsidRPr="009D6837" w:rsidRDefault="001A309F" w:rsidP="001A309F">
      <w:pPr>
        <w:ind w:left="709"/>
        <w:jc w:val="both"/>
        <w:rPr>
          <w:rFonts w:eastAsia="Calibri"/>
          <w:sz w:val="16"/>
        </w:rPr>
      </w:pPr>
      <w:r w:rsidRPr="009D6837">
        <w:rPr>
          <w:rFonts w:eastAsia="Calibri"/>
          <w:sz w:val="16"/>
        </w:rPr>
        <w:t>KPDS</w:t>
      </w:r>
      <w:r w:rsidRPr="009D6837">
        <w:rPr>
          <w:rFonts w:eastAsia="Calibri"/>
          <w:sz w:val="16"/>
        </w:rPr>
        <w:tab/>
      </w:r>
      <w:r w:rsidRPr="009D6837">
        <w:rPr>
          <w:rFonts w:eastAsia="Calibri"/>
          <w:sz w:val="16"/>
        </w:rPr>
        <w:tab/>
        <w:t>: Public Personnel Foreign Language Exam</w:t>
      </w:r>
    </w:p>
    <w:p w14:paraId="6BF2358D" w14:textId="77777777" w:rsidR="001A309F" w:rsidRPr="009D6837" w:rsidRDefault="001A309F" w:rsidP="001A309F">
      <w:pPr>
        <w:ind w:left="709"/>
        <w:jc w:val="both"/>
        <w:rPr>
          <w:rFonts w:eastAsia="Calibri"/>
          <w:sz w:val="16"/>
        </w:rPr>
      </w:pPr>
      <w:r w:rsidRPr="009D6837">
        <w:rPr>
          <w:rFonts w:eastAsia="Calibri"/>
          <w:sz w:val="16"/>
        </w:rPr>
        <w:t>ÜDS</w:t>
      </w:r>
      <w:r w:rsidRPr="009D6837">
        <w:rPr>
          <w:rFonts w:eastAsia="Calibri"/>
          <w:sz w:val="16"/>
        </w:rPr>
        <w:tab/>
      </w:r>
      <w:r w:rsidRPr="009D6837">
        <w:rPr>
          <w:rFonts w:eastAsia="Calibri"/>
          <w:sz w:val="16"/>
        </w:rPr>
        <w:tab/>
        <w:t>: Interuniversity Board Foreign Language Exam</w:t>
      </w:r>
    </w:p>
    <w:p w14:paraId="45FD49A0" w14:textId="77777777" w:rsidR="001A309F" w:rsidRPr="009D6837" w:rsidRDefault="001A309F" w:rsidP="001A309F">
      <w:pPr>
        <w:ind w:left="709"/>
        <w:jc w:val="both"/>
        <w:rPr>
          <w:rFonts w:eastAsia="Calibri"/>
          <w:sz w:val="16"/>
        </w:rPr>
      </w:pPr>
      <w:r w:rsidRPr="009D6837">
        <w:rPr>
          <w:rFonts w:eastAsia="Calibri"/>
          <w:sz w:val="16"/>
        </w:rPr>
        <w:t>YDS</w:t>
      </w:r>
      <w:r w:rsidRPr="009D6837">
        <w:rPr>
          <w:rFonts w:eastAsia="Calibri"/>
          <w:sz w:val="16"/>
        </w:rPr>
        <w:tab/>
      </w:r>
      <w:r w:rsidRPr="009D6837">
        <w:rPr>
          <w:rFonts w:eastAsia="Calibri"/>
          <w:sz w:val="16"/>
        </w:rPr>
        <w:tab/>
        <w:t>: Foreign Language Proficiency Test</w:t>
      </w:r>
    </w:p>
    <w:p w14:paraId="20FE4C14" w14:textId="77777777" w:rsidR="001A309F" w:rsidRPr="009D6837" w:rsidRDefault="001A309F" w:rsidP="001A309F">
      <w:pPr>
        <w:ind w:left="709"/>
        <w:jc w:val="both"/>
        <w:rPr>
          <w:rFonts w:eastAsia="Calibri"/>
          <w:sz w:val="16"/>
        </w:rPr>
      </w:pPr>
      <w:r w:rsidRPr="009D6837">
        <w:rPr>
          <w:rFonts w:eastAsia="Calibri"/>
          <w:sz w:val="16"/>
        </w:rPr>
        <w:t>YÖKDİL</w:t>
      </w:r>
      <w:r w:rsidRPr="009D6837">
        <w:rPr>
          <w:rFonts w:eastAsia="Calibri"/>
          <w:sz w:val="16"/>
        </w:rPr>
        <w:tab/>
      </w:r>
      <w:r w:rsidRPr="009D6837">
        <w:rPr>
          <w:rFonts w:eastAsia="Calibri"/>
          <w:sz w:val="16"/>
        </w:rPr>
        <w:tab/>
        <w:t>: Higher Education Institutions Foreign Language Exam</w:t>
      </w:r>
    </w:p>
    <w:p w14:paraId="56B963A5" w14:textId="77777777" w:rsidR="001A309F" w:rsidRPr="009D6837" w:rsidRDefault="001A309F" w:rsidP="001A309F">
      <w:pPr>
        <w:ind w:left="709"/>
        <w:jc w:val="both"/>
        <w:rPr>
          <w:rFonts w:eastAsia="Calibri"/>
          <w:sz w:val="16"/>
        </w:rPr>
      </w:pPr>
      <w:r w:rsidRPr="009D6837">
        <w:rPr>
          <w:rFonts w:eastAsia="Calibri"/>
          <w:sz w:val="16"/>
        </w:rPr>
        <w:t>TOEFL IBT</w:t>
      </w:r>
      <w:r w:rsidRPr="009D6837">
        <w:rPr>
          <w:rFonts w:eastAsia="Calibri"/>
          <w:sz w:val="16"/>
        </w:rPr>
        <w:tab/>
        <w:t>: Test of English as a Foreign Language – Internet-Based Test</w:t>
      </w:r>
    </w:p>
    <w:p w14:paraId="21309C9E" w14:textId="77777777" w:rsidR="001A309F" w:rsidRPr="009D6837" w:rsidRDefault="001A309F" w:rsidP="001A309F">
      <w:pPr>
        <w:ind w:left="709"/>
        <w:jc w:val="both"/>
        <w:rPr>
          <w:rFonts w:eastAsia="Calibri"/>
          <w:sz w:val="16"/>
        </w:rPr>
      </w:pPr>
      <w:r w:rsidRPr="009D6837">
        <w:rPr>
          <w:rFonts w:eastAsia="Calibri"/>
          <w:sz w:val="16"/>
        </w:rPr>
        <w:t>TOEFL CBT</w:t>
      </w:r>
      <w:r w:rsidRPr="009D6837">
        <w:rPr>
          <w:rFonts w:eastAsia="Calibri"/>
          <w:sz w:val="16"/>
        </w:rPr>
        <w:tab/>
        <w:t>: Test of English as a Foreign Language – Computer-Based Test</w:t>
      </w:r>
    </w:p>
    <w:p w14:paraId="60F50D8C" w14:textId="77777777" w:rsidR="001A309F" w:rsidRPr="009D6837" w:rsidRDefault="001A309F" w:rsidP="001A309F">
      <w:pPr>
        <w:ind w:left="709"/>
        <w:jc w:val="both"/>
        <w:rPr>
          <w:rFonts w:eastAsia="Calibri"/>
          <w:sz w:val="16"/>
        </w:rPr>
      </w:pPr>
      <w:r w:rsidRPr="009D6837">
        <w:rPr>
          <w:rFonts w:eastAsia="Calibri"/>
          <w:sz w:val="16"/>
        </w:rPr>
        <w:t>TOEFL PBT</w:t>
      </w:r>
      <w:r w:rsidRPr="009D6837">
        <w:rPr>
          <w:rFonts w:eastAsia="Calibri"/>
          <w:sz w:val="16"/>
        </w:rPr>
        <w:tab/>
        <w:t>: Test of English as a Foreign Language – Paper-Based Test</w:t>
      </w:r>
    </w:p>
    <w:p w14:paraId="34159DE2" w14:textId="77777777" w:rsidR="001A309F" w:rsidRPr="009D6837" w:rsidRDefault="001A309F" w:rsidP="001A309F">
      <w:pPr>
        <w:ind w:left="709"/>
        <w:jc w:val="both"/>
        <w:rPr>
          <w:rFonts w:eastAsia="Calibri"/>
          <w:sz w:val="16"/>
        </w:rPr>
      </w:pPr>
      <w:r w:rsidRPr="009D6837">
        <w:rPr>
          <w:rFonts w:eastAsia="Calibri"/>
          <w:sz w:val="16"/>
        </w:rPr>
        <w:t>FCE</w:t>
      </w:r>
      <w:r w:rsidRPr="009D6837">
        <w:rPr>
          <w:rFonts w:eastAsia="Calibri"/>
          <w:sz w:val="16"/>
        </w:rPr>
        <w:tab/>
      </w:r>
      <w:r w:rsidRPr="009D6837">
        <w:rPr>
          <w:rFonts w:eastAsia="Calibri"/>
          <w:sz w:val="16"/>
        </w:rPr>
        <w:tab/>
        <w:t>: First Certificate in English</w:t>
      </w:r>
    </w:p>
    <w:p w14:paraId="3C56C1C4" w14:textId="77777777" w:rsidR="001A309F" w:rsidRPr="009D6837" w:rsidRDefault="001A309F" w:rsidP="001A309F">
      <w:pPr>
        <w:ind w:left="709"/>
        <w:jc w:val="both"/>
        <w:rPr>
          <w:rFonts w:eastAsia="Calibri"/>
          <w:sz w:val="16"/>
        </w:rPr>
      </w:pPr>
      <w:r w:rsidRPr="009D6837">
        <w:rPr>
          <w:rFonts w:eastAsia="Calibri"/>
          <w:sz w:val="16"/>
        </w:rPr>
        <w:t>CAE</w:t>
      </w:r>
      <w:r w:rsidRPr="009D6837">
        <w:rPr>
          <w:rFonts w:eastAsia="Calibri"/>
          <w:sz w:val="16"/>
        </w:rPr>
        <w:tab/>
      </w:r>
      <w:r w:rsidRPr="009D6837">
        <w:rPr>
          <w:rFonts w:eastAsia="Calibri"/>
          <w:sz w:val="16"/>
        </w:rPr>
        <w:tab/>
        <w:t>: Certificate in Advanced English</w:t>
      </w:r>
    </w:p>
    <w:p w14:paraId="67544DCC" w14:textId="77777777" w:rsidR="001A309F" w:rsidRPr="009D6837" w:rsidRDefault="001A309F" w:rsidP="001A309F">
      <w:pPr>
        <w:ind w:left="709"/>
        <w:jc w:val="both"/>
        <w:rPr>
          <w:rFonts w:eastAsia="Calibri"/>
          <w:sz w:val="16"/>
        </w:rPr>
      </w:pPr>
      <w:r w:rsidRPr="009D6837">
        <w:rPr>
          <w:rFonts w:eastAsia="Calibri"/>
          <w:sz w:val="16"/>
        </w:rPr>
        <w:t>CPE</w:t>
      </w:r>
      <w:r w:rsidRPr="009D6837">
        <w:rPr>
          <w:rFonts w:eastAsia="Calibri"/>
          <w:sz w:val="16"/>
        </w:rPr>
        <w:tab/>
      </w:r>
      <w:r w:rsidRPr="009D6837">
        <w:rPr>
          <w:rFonts w:eastAsia="Calibri"/>
          <w:sz w:val="16"/>
        </w:rPr>
        <w:tab/>
        <w:t>: Certificate of Proficiency in English</w:t>
      </w:r>
    </w:p>
    <w:p w14:paraId="66164583" w14:textId="45CC2646" w:rsidR="001A309F" w:rsidRPr="002606DA" w:rsidRDefault="001A309F" w:rsidP="009D6837">
      <w:pPr>
        <w:tabs>
          <w:tab w:val="left" w:pos="836"/>
        </w:tabs>
        <w:spacing w:before="35"/>
        <w:jc w:val="both"/>
        <w:rPr>
          <w:sz w:val="24"/>
        </w:rPr>
      </w:pPr>
    </w:p>
    <w:p w14:paraId="6C9E6AE3" w14:textId="37E064F3" w:rsidR="001A309F" w:rsidRPr="002606DA" w:rsidRDefault="00BF2996" w:rsidP="001A309F">
      <w:pPr>
        <w:pStyle w:val="GvdeMetni"/>
        <w:spacing w:before="49"/>
        <w:ind w:left="142"/>
        <w:rPr>
          <w:b/>
          <w:bCs/>
        </w:rPr>
      </w:pPr>
      <w:r>
        <w:rPr>
          <w:b/>
          <w:bCs/>
        </w:rPr>
        <w:t>Other</w:t>
      </w:r>
    </w:p>
    <w:p w14:paraId="04D1BB06" w14:textId="603E81D6" w:rsidR="001A309F" w:rsidRPr="004C5343" w:rsidRDefault="00BF2996" w:rsidP="004C5343">
      <w:pPr>
        <w:tabs>
          <w:tab w:val="left" w:pos="835"/>
        </w:tabs>
        <w:spacing w:before="42" w:line="273" w:lineRule="auto"/>
        <w:ind w:right="119"/>
        <w:jc w:val="both"/>
        <w:rPr>
          <w:sz w:val="24"/>
        </w:rPr>
      </w:pPr>
      <w:r>
        <w:rPr>
          <w:sz w:val="24"/>
        </w:rPr>
        <w:t xml:space="preserve">   </w:t>
      </w:r>
      <w:r w:rsidR="001A309F" w:rsidRPr="004C5343">
        <w:rPr>
          <w:sz w:val="24"/>
        </w:rPr>
        <w:t>It is preferred that candidates have the following skills</w:t>
      </w:r>
      <w:r w:rsidR="002606DA" w:rsidRPr="004C5343">
        <w:rPr>
          <w:sz w:val="24"/>
        </w:rPr>
        <w:t>:</w:t>
      </w:r>
    </w:p>
    <w:p w14:paraId="15B48CD1" w14:textId="77777777" w:rsidR="001A309F" w:rsidRPr="002606DA" w:rsidRDefault="001A309F" w:rsidP="001A309F">
      <w:pPr>
        <w:pStyle w:val="ListeParagraf"/>
        <w:numPr>
          <w:ilvl w:val="0"/>
          <w:numId w:val="1"/>
        </w:numPr>
        <w:tabs>
          <w:tab w:val="left" w:pos="836"/>
        </w:tabs>
        <w:spacing w:before="35"/>
        <w:ind w:left="836" w:hanging="360"/>
        <w:jc w:val="both"/>
        <w:rPr>
          <w:sz w:val="24"/>
        </w:rPr>
      </w:pPr>
      <w:r w:rsidRPr="002606DA">
        <w:rPr>
          <w:sz w:val="24"/>
        </w:rPr>
        <w:t>Knowledge and experience in environmental and social due diligence, risk management in accordance with the standards of International Financial Institutions (i.e. IFC, WB, EBRD, etc.),</w:t>
      </w:r>
    </w:p>
    <w:p w14:paraId="4A8ADAE2" w14:textId="77777777" w:rsidR="001A309F" w:rsidRPr="009D6837" w:rsidRDefault="001A309F" w:rsidP="001A309F">
      <w:pPr>
        <w:pStyle w:val="ListeParagraf"/>
        <w:numPr>
          <w:ilvl w:val="0"/>
          <w:numId w:val="1"/>
        </w:numPr>
        <w:tabs>
          <w:tab w:val="left" w:pos="835"/>
        </w:tabs>
        <w:spacing w:line="291" w:lineRule="exact"/>
        <w:ind w:left="835" w:hanging="359"/>
        <w:jc w:val="both"/>
        <w:rPr>
          <w:sz w:val="24"/>
        </w:rPr>
      </w:pPr>
      <w:r w:rsidRPr="002606DA">
        <w:rPr>
          <w:sz w:val="24"/>
        </w:rPr>
        <w:t>Solid background in the environmental and social policies of the International Finance Institutions (IFIs), particularly World Bank and knowledge on preparation of World Bank Environmental and Social Standards (ESSs) documents will be an asset.</w:t>
      </w:r>
    </w:p>
    <w:p w14:paraId="4BFBE957" w14:textId="77777777" w:rsidR="001A309F" w:rsidRPr="009D6837" w:rsidRDefault="001A309F" w:rsidP="001A309F">
      <w:pPr>
        <w:pStyle w:val="ListeParagraf"/>
        <w:numPr>
          <w:ilvl w:val="0"/>
          <w:numId w:val="1"/>
        </w:numPr>
        <w:tabs>
          <w:tab w:val="left" w:pos="835"/>
        </w:tabs>
        <w:spacing w:before="40"/>
        <w:ind w:left="835" w:hanging="359"/>
        <w:jc w:val="both"/>
        <w:rPr>
          <w:sz w:val="24"/>
        </w:rPr>
      </w:pPr>
      <w:r w:rsidRPr="009D6837">
        <w:rPr>
          <w:sz w:val="24"/>
        </w:rPr>
        <w:t>Experience</w:t>
      </w:r>
      <w:r w:rsidRPr="009D6837">
        <w:rPr>
          <w:spacing w:val="-2"/>
          <w:sz w:val="24"/>
        </w:rPr>
        <w:t xml:space="preserve"> </w:t>
      </w:r>
      <w:r w:rsidRPr="009D6837">
        <w:rPr>
          <w:sz w:val="24"/>
        </w:rPr>
        <w:t>in</w:t>
      </w:r>
      <w:r w:rsidRPr="009D6837">
        <w:rPr>
          <w:spacing w:val="-1"/>
          <w:sz w:val="24"/>
        </w:rPr>
        <w:t xml:space="preserve"> </w:t>
      </w:r>
      <w:r w:rsidRPr="009D6837">
        <w:rPr>
          <w:sz w:val="24"/>
        </w:rPr>
        <w:t>World</w:t>
      </w:r>
      <w:r w:rsidRPr="009D6837">
        <w:rPr>
          <w:spacing w:val="-1"/>
          <w:sz w:val="24"/>
        </w:rPr>
        <w:t xml:space="preserve"> </w:t>
      </w:r>
      <w:r w:rsidRPr="009D6837">
        <w:rPr>
          <w:sz w:val="24"/>
        </w:rPr>
        <w:t>Bank</w:t>
      </w:r>
      <w:r w:rsidRPr="009D6837">
        <w:rPr>
          <w:spacing w:val="-1"/>
          <w:sz w:val="24"/>
        </w:rPr>
        <w:t xml:space="preserve"> </w:t>
      </w:r>
      <w:r w:rsidRPr="009D6837">
        <w:rPr>
          <w:sz w:val="24"/>
        </w:rPr>
        <w:t>projects</w:t>
      </w:r>
      <w:r w:rsidRPr="009D6837">
        <w:rPr>
          <w:spacing w:val="1"/>
          <w:sz w:val="24"/>
        </w:rPr>
        <w:t xml:space="preserve"> </w:t>
      </w:r>
      <w:r w:rsidRPr="009D6837">
        <w:rPr>
          <w:sz w:val="24"/>
        </w:rPr>
        <w:t>will be</w:t>
      </w:r>
      <w:r w:rsidRPr="009D6837">
        <w:rPr>
          <w:spacing w:val="-1"/>
          <w:sz w:val="24"/>
        </w:rPr>
        <w:t xml:space="preserve"> </w:t>
      </w:r>
      <w:r w:rsidRPr="009D6837">
        <w:rPr>
          <w:sz w:val="24"/>
        </w:rPr>
        <w:t xml:space="preserve">an </w:t>
      </w:r>
      <w:r w:rsidRPr="009D6837">
        <w:rPr>
          <w:spacing w:val="-2"/>
          <w:sz w:val="24"/>
        </w:rPr>
        <w:t>asset.</w:t>
      </w:r>
    </w:p>
    <w:p w14:paraId="3572F1D7" w14:textId="1230F836" w:rsidR="001A309F" w:rsidRPr="009D6837" w:rsidRDefault="001A309F" w:rsidP="009D6837">
      <w:pPr>
        <w:pStyle w:val="ListeParagraf"/>
        <w:numPr>
          <w:ilvl w:val="0"/>
          <w:numId w:val="1"/>
        </w:numPr>
        <w:tabs>
          <w:tab w:val="left" w:pos="835"/>
        </w:tabs>
        <w:spacing w:before="23"/>
        <w:ind w:left="835" w:hanging="359"/>
        <w:jc w:val="both"/>
        <w:rPr>
          <w:sz w:val="24"/>
        </w:rPr>
      </w:pPr>
      <w:r w:rsidRPr="009D6837">
        <w:rPr>
          <w:sz w:val="24"/>
        </w:rPr>
        <w:lastRenderedPageBreak/>
        <w:t>Experience</w:t>
      </w:r>
      <w:r w:rsidRPr="009D6837">
        <w:rPr>
          <w:spacing w:val="-4"/>
          <w:sz w:val="24"/>
        </w:rPr>
        <w:t xml:space="preserve"> </w:t>
      </w:r>
      <w:r w:rsidRPr="009D6837">
        <w:rPr>
          <w:sz w:val="24"/>
        </w:rPr>
        <w:t>in working</w:t>
      </w:r>
      <w:r w:rsidRPr="009D6837">
        <w:rPr>
          <w:spacing w:val="-4"/>
          <w:sz w:val="24"/>
        </w:rPr>
        <w:t xml:space="preserve"> </w:t>
      </w:r>
      <w:r w:rsidRPr="009D6837">
        <w:rPr>
          <w:sz w:val="24"/>
        </w:rPr>
        <w:t>with public</w:t>
      </w:r>
      <w:r w:rsidRPr="009D6837">
        <w:rPr>
          <w:spacing w:val="-2"/>
          <w:sz w:val="24"/>
        </w:rPr>
        <w:t xml:space="preserve"> </w:t>
      </w:r>
      <w:r w:rsidRPr="009D6837">
        <w:rPr>
          <w:sz w:val="24"/>
        </w:rPr>
        <w:t>agencies and</w:t>
      </w:r>
      <w:r w:rsidRPr="009D6837">
        <w:rPr>
          <w:spacing w:val="-1"/>
          <w:sz w:val="24"/>
        </w:rPr>
        <w:t xml:space="preserve"> </w:t>
      </w:r>
      <w:r w:rsidRPr="009D6837">
        <w:rPr>
          <w:sz w:val="24"/>
        </w:rPr>
        <w:t>institutions will be</w:t>
      </w:r>
      <w:r w:rsidRPr="009D6837">
        <w:rPr>
          <w:spacing w:val="-1"/>
          <w:sz w:val="24"/>
        </w:rPr>
        <w:t xml:space="preserve"> </w:t>
      </w:r>
      <w:r w:rsidRPr="009D6837">
        <w:rPr>
          <w:sz w:val="24"/>
        </w:rPr>
        <w:t xml:space="preserve">an </w:t>
      </w:r>
      <w:r w:rsidRPr="009D6837">
        <w:rPr>
          <w:spacing w:val="-2"/>
          <w:sz w:val="24"/>
        </w:rPr>
        <w:t>asset.</w:t>
      </w:r>
    </w:p>
    <w:p w14:paraId="5BB35080" w14:textId="77777777" w:rsidR="00DE1AF0" w:rsidRPr="002606DA" w:rsidRDefault="00A73242" w:rsidP="00181B93">
      <w:pPr>
        <w:pStyle w:val="ListeParagraf"/>
        <w:numPr>
          <w:ilvl w:val="0"/>
          <w:numId w:val="1"/>
        </w:numPr>
        <w:tabs>
          <w:tab w:val="left" w:pos="836"/>
        </w:tabs>
        <w:spacing w:before="42" w:line="273" w:lineRule="auto"/>
        <w:ind w:left="836" w:right="119" w:hanging="360"/>
        <w:jc w:val="both"/>
        <w:rPr>
          <w:sz w:val="24"/>
        </w:rPr>
      </w:pPr>
      <w:r w:rsidRPr="002606DA">
        <w:rPr>
          <w:sz w:val="24"/>
        </w:rPr>
        <w:t>Understanding</w:t>
      </w:r>
      <w:r w:rsidRPr="002606DA">
        <w:rPr>
          <w:spacing w:val="-7"/>
          <w:sz w:val="24"/>
        </w:rPr>
        <w:t xml:space="preserve"> </w:t>
      </w:r>
      <w:r w:rsidRPr="002606DA">
        <w:rPr>
          <w:sz w:val="24"/>
        </w:rPr>
        <w:t>project</w:t>
      </w:r>
      <w:r w:rsidRPr="002606DA">
        <w:rPr>
          <w:spacing w:val="-5"/>
          <w:sz w:val="24"/>
        </w:rPr>
        <w:t xml:space="preserve"> </w:t>
      </w:r>
      <w:r w:rsidRPr="002606DA">
        <w:rPr>
          <w:sz w:val="24"/>
        </w:rPr>
        <w:t>management</w:t>
      </w:r>
      <w:r w:rsidRPr="002606DA">
        <w:rPr>
          <w:spacing w:val="-3"/>
          <w:sz w:val="24"/>
        </w:rPr>
        <w:t xml:space="preserve"> </w:t>
      </w:r>
      <w:r w:rsidRPr="002606DA">
        <w:rPr>
          <w:sz w:val="24"/>
        </w:rPr>
        <w:t>concepts,</w:t>
      </w:r>
      <w:r w:rsidRPr="002606DA">
        <w:rPr>
          <w:spacing w:val="-5"/>
          <w:sz w:val="24"/>
        </w:rPr>
        <w:t xml:space="preserve"> </w:t>
      </w:r>
      <w:r w:rsidRPr="002606DA">
        <w:rPr>
          <w:sz w:val="24"/>
        </w:rPr>
        <w:t>including</w:t>
      </w:r>
      <w:r w:rsidRPr="002606DA">
        <w:rPr>
          <w:spacing w:val="-6"/>
          <w:sz w:val="24"/>
        </w:rPr>
        <w:t xml:space="preserve"> </w:t>
      </w:r>
      <w:r w:rsidRPr="002606DA">
        <w:rPr>
          <w:sz w:val="24"/>
        </w:rPr>
        <w:t>planning,</w:t>
      </w:r>
      <w:r w:rsidRPr="002606DA">
        <w:rPr>
          <w:spacing w:val="-3"/>
          <w:sz w:val="24"/>
        </w:rPr>
        <w:t xml:space="preserve"> </w:t>
      </w:r>
      <w:r w:rsidRPr="002606DA">
        <w:rPr>
          <w:sz w:val="24"/>
        </w:rPr>
        <w:t>implementation,</w:t>
      </w:r>
      <w:r w:rsidRPr="002606DA">
        <w:rPr>
          <w:spacing w:val="-5"/>
          <w:sz w:val="24"/>
        </w:rPr>
        <w:t xml:space="preserve"> </w:t>
      </w:r>
      <w:r w:rsidRPr="002606DA">
        <w:rPr>
          <w:sz w:val="24"/>
        </w:rPr>
        <w:t xml:space="preserve">and </w:t>
      </w:r>
      <w:r w:rsidRPr="002606DA">
        <w:rPr>
          <w:spacing w:val="-2"/>
          <w:sz w:val="24"/>
        </w:rPr>
        <w:t>coordination.</w:t>
      </w:r>
    </w:p>
    <w:p w14:paraId="09242C20" w14:textId="70CB39F8" w:rsidR="00DE1AF0" w:rsidRPr="009D6837" w:rsidRDefault="00742875" w:rsidP="00181B93">
      <w:pPr>
        <w:pStyle w:val="ListeParagraf"/>
        <w:numPr>
          <w:ilvl w:val="0"/>
          <w:numId w:val="1"/>
        </w:numPr>
        <w:tabs>
          <w:tab w:val="left" w:pos="836"/>
        </w:tabs>
        <w:spacing w:before="1" w:line="273" w:lineRule="auto"/>
        <w:ind w:left="836" w:right="119" w:hanging="360"/>
        <w:jc w:val="both"/>
        <w:rPr>
          <w:sz w:val="24"/>
        </w:rPr>
      </w:pPr>
      <w:r w:rsidRPr="009D6837">
        <w:rPr>
          <w:sz w:val="24"/>
        </w:rPr>
        <w:t>Teamwork skills (e</w:t>
      </w:r>
      <w:r w:rsidR="00A73242" w:rsidRPr="009D6837">
        <w:rPr>
          <w:sz w:val="24"/>
        </w:rPr>
        <w:t>ffective</w:t>
      </w:r>
      <w:r w:rsidR="00A73242" w:rsidRPr="009D6837">
        <w:rPr>
          <w:spacing w:val="79"/>
          <w:sz w:val="24"/>
        </w:rPr>
        <w:t xml:space="preserve"> </w:t>
      </w:r>
      <w:r w:rsidR="00A73242" w:rsidRPr="009D6837">
        <w:rPr>
          <w:sz w:val="24"/>
        </w:rPr>
        <w:t>collaboration</w:t>
      </w:r>
      <w:r w:rsidR="00A73242" w:rsidRPr="009D6837">
        <w:rPr>
          <w:spacing w:val="80"/>
          <w:sz w:val="24"/>
        </w:rPr>
        <w:t xml:space="preserve"> </w:t>
      </w:r>
      <w:r w:rsidR="00A73242" w:rsidRPr="009D6837">
        <w:rPr>
          <w:sz w:val="24"/>
        </w:rPr>
        <w:t>with</w:t>
      </w:r>
      <w:r w:rsidR="00A73242" w:rsidRPr="009D6837">
        <w:rPr>
          <w:spacing w:val="79"/>
          <w:sz w:val="24"/>
        </w:rPr>
        <w:t xml:space="preserve"> </w:t>
      </w:r>
      <w:r w:rsidR="00A73242" w:rsidRPr="009D6837">
        <w:rPr>
          <w:sz w:val="24"/>
        </w:rPr>
        <w:t>project</w:t>
      </w:r>
      <w:r w:rsidR="00A73242" w:rsidRPr="009D6837">
        <w:rPr>
          <w:spacing w:val="79"/>
          <w:sz w:val="24"/>
        </w:rPr>
        <w:t xml:space="preserve"> </w:t>
      </w:r>
      <w:r w:rsidR="00A73458" w:rsidRPr="009D6837">
        <w:rPr>
          <w:sz w:val="24"/>
        </w:rPr>
        <w:t>team</w:t>
      </w:r>
      <w:r w:rsidR="00A73242" w:rsidRPr="009D6837">
        <w:rPr>
          <w:sz w:val="24"/>
        </w:rPr>
        <w:t>,</w:t>
      </w:r>
      <w:r w:rsidR="00A73242" w:rsidRPr="009D6837">
        <w:rPr>
          <w:spacing w:val="79"/>
          <w:sz w:val="24"/>
        </w:rPr>
        <w:t xml:space="preserve"> </w:t>
      </w:r>
      <w:r w:rsidR="00A73242" w:rsidRPr="009D6837">
        <w:rPr>
          <w:sz w:val="24"/>
        </w:rPr>
        <w:t>partners,</w:t>
      </w:r>
      <w:r w:rsidR="00A73242" w:rsidRPr="009D6837">
        <w:rPr>
          <w:spacing w:val="79"/>
          <w:sz w:val="24"/>
        </w:rPr>
        <w:t xml:space="preserve"> </w:t>
      </w:r>
      <w:r w:rsidR="00A73242" w:rsidRPr="009D6837">
        <w:rPr>
          <w:sz w:val="24"/>
        </w:rPr>
        <w:t>and</w:t>
      </w:r>
      <w:r w:rsidR="00A73242" w:rsidRPr="009D6837">
        <w:rPr>
          <w:spacing w:val="78"/>
          <w:sz w:val="24"/>
        </w:rPr>
        <w:t xml:space="preserve"> </w:t>
      </w:r>
      <w:r w:rsidR="00A73242" w:rsidRPr="009D6837">
        <w:rPr>
          <w:sz w:val="24"/>
        </w:rPr>
        <w:t>stakeholders</w:t>
      </w:r>
      <w:r w:rsidR="00A73242" w:rsidRPr="009D6837">
        <w:rPr>
          <w:spacing w:val="80"/>
          <w:sz w:val="24"/>
        </w:rPr>
        <w:t xml:space="preserve"> </w:t>
      </w:r>
      <w:r w:rsidR="00A73242" w:rsidRPr="009D6837">
        <w:rPr>
          <w:sz w:val="24"/>
        </w:rPr>
        <w:t>to</w:t>
      </w:r>
      <w:r w:rsidR="00A73242" w:rsidRPr="009D6837">
        <w:rPr>
          <w:spacing w:val="79"/>
          <w:sz w:val="24"/>
        </w:rPr>
        <w:t xml:space="preserve"> </w:t>
      </w:r>
      <w:r w:rsidR="00A73242" w:rsidRPr="009D6837">
        <w:rPr>
          <w:sz w:val="24"/>
        </w:rPr>
        <w:t xml:space="preserve">ensure alignment and shared understanding of </w:t>
      </w:r>
      <w:r w:rsidR="00CE70A6" w:rsidRPr="009D6837">
        <w:rPr>
          <w:sz w:val="24"/>
        </w:rPr>
        <w:t>PIU</w:t>
      </w:r>
      <w:r w:rsidRPr="009D6837">
        <w:rPr>
          <w:sz w:val="24"/>
        </w:rPr>
        <w:t xml:space="preserve"> processes and goals).</w:t>
      </w:r>
    </w:p>
    <w:p w14:paraId="4BBD7123" w14:textId="77777777" w:rsidR="00DE1AF0" w:rsidRPr="009D6837" w:rsidRDefault="00A73242" w:rsidP="00181B93">
      <w:pPr>
        <w:pStyle w:val="ListeParagraf"/>
        <w:numPr>
          <w:ilvl w:val="0"/>
          <w:numId w:val="1"/>
        </w:numPr>
        <w:tabs>
          <w:tab w:val="left" w:pos="836"/>
        </w:tabs>
        <w:spacing w:before="3"/>
        <w:ind w:left="836" w:hanging="360"/>
        <w:jc w:val="both"/>
        <w:rPr>
          <w:sz w:val="24"/>
        </w:rPr>
      </w:pPr>
      <w:r w:rsidRPr="009D6837">
        <w:rPr>
          <w:sz w:val="24"/>
        </w:rPr>
        <w:t>Strong</w:t>
      </w:r>
      <w:r w:rsidRPr="009D6837">
        <w:rPr>
          <w:spacing w:val="-7"/>
          <w:sz w:val="24"/>
        </w:rPr>
        <w:t xml:space="preserve"> </w:t>
      </w:r>
      <w:r w:rsidRPr="009D6837">
        <w:rPr>
          <w:sz w:val="24"/>
        </w:rPr>
        <w:t>analytical,</w:t>
      </w:r>
      <w:r w:rsidRPr="009D6837">
        <w:rPr>
          <w:spacing w:val="-2"/>
          <w:sz w:val="24"/>
        </w:rPr>
        <w:t xml:space="preserve"> </w:t>
      </w:r>
      <w:r w:rsidRPr="009D6837">
        <w:rPr>
          <w:sz w:val="24"/>
        </w:rPr>
        <w:t>communication,</w:t>
      </w:r>
      <w:r w:rsidRPr="009D6837">
        <w:rPr>
          <w:spacing w:val="-2"/>
          <w:sz w:val="24"/>
        </w:rPr>
        <w:t xml:space="preserve"> </w:t>
      </w:r>
      <w:r w:rsidRPr="009D6837">
        <w:rPr>
          <w:sz w:val="24"/>
        </w:rPr>
        <w:t>and</w:t>
      </w:r>
      <w:r w:rsidRPr="009D6837">
        <w:rPr>
          <w:spacing w:val="-2"/>
          <w:sz w:val="24"/>
        </w:rPr>
        <w:t xml:space="preserve"> </w:t>
      </w:r>
      <w:r w:rsidRPr="009D6837">
        <w:rPr>
          <w:sz w:val="24"/>
        </w:rPr>
        <w:t>interpersonal</w:t>
      </w:r>
      <w:r w:rsidRPr="009D6837">
        <w:rPr>
          <w:spacing w:val="-1"/>
          <w:sz w:val="24"/>
        </w:rPr>
        <w:t xml:space="preserve"> </w:t>
      </w:r>
      <w:r w:rsidRPr="009D6837">
        <w:rPr>
          <w:spacing w:val="-2"/>
          <w:sz w:val="24"/>
        </w:rPr>
        <w:t>skills.</w:t>
      </w:r>
    </w:p>
    <w:p w14:paraId="3DAA1751" w14:textId="77777777" w:rsidR="00CE70A6" w:rsidRPr="009D6837" w:rsidRDefault="00A73242" w:rsidP="00181B93">
      <w:pPr>
        <w:pStyle w:val="ListeParagraf"/>
        <w:numPr>
          <w:ilvl w:val="0"/>
          <w:numId w:val="1"/>
        </w:numPr>
        <w:tabs>
          <w:tab w:val="left" w:pos="836"/>
        </w:tabs>
        <w:spacing w:before="39" w:line="273" w:lineRule="auto"/>
        <w:ind w:left="836" w:right="117" w:hanging="360"/>
        <w:jc w:val="both"/>
        <w:rPr>
          <w:sz w:val="24"/>
        </w:rPr>
      </w:pPr>
      <w:r w:rsidRPr="009D6837">
        <w:rPr>
          <w:sz w:val="24"/>
        </w:rPr>
        <w:t>Highly organized in both time and in resources, with the ability to work efficiently to meet strict deadlines.</w:t>
      </w:r>
    </w:p>
    <w:p w14:paraId="414D62D4" w14:textId="77777777" w:rsidR="00DE1AF0" w:rsidRPr="009D6837" w:rsidRDefault="00CE70A6" w:rsidP="00181B93">
      <w:pPr>
        <w:pStyle w:val="ListeParagraf"/>
        <w:numPr>
          <w:ilvl w:val="0"/>
          <w:numId w:val="1"/>
        </w:numPr>
        <w:tabs>
          <w:tab w:val="left" w:pos="836"/>
        </w:tabs>
        <w:spacing w:before="39" w:line="273" w:lineRule="auto"/>
        <w:ind w:left="836" w:right="117" w:hanging="360"/>
        <w:jc w:val="both"/>
        <w:rPr>
          <w:sz w:val="24"/>
        </w:rPr>
      </w:pPr>
      <w:r w:rsidRPr="009D6837">
        <w:rPr>
          <w:sz w:val="24"/>
        </w:rPr>
        <w:t>Proficiency in key computer applications, e.g., Word, Excel, PowerPoint, MS Project.</w:t>
      </w:r>
    </w:p>
    <w:p w14:paraId="213D60DA" w14:textId="0125907D" w:rsidR="00DE1AF0" w:rsidRPr="009D6837" w:rsidRDefault="00A73242" w:rsidP="00181B93">
      <w:pPr>
        <w:pStyle w:val="ListeParagraf"/>
        <w:numPr>
          <w:ilvl w:val="0"/>
          <w:numId w:val="1"/>
        </w:numPr>
        <w:tabs>
          <w:tab w:val="left" w:pos="836"/>
        </w:tabs>
        <w:spacing w:before="42" w:line="273" w:lineRule="auto"/>
        <w:ind w:left="836" w:right="113" w:hanging="360"/>
        <w:jc w:val="both"/>
        <w:rPr>
          <w:sz w:val="24"/>
        </w:rPr>
      </w:pPr>
      <w:r w:rsidRPr="009D6837">
        <w:rPr>
          <w:sz w:val="24"/>
        </w:rPr>
        <w:t>Ability</w:t>
      </w:r>
      <w:r w:rsidRPr="009D6837">
        <w:rPr>
          <w:spacing w:val="40"/>
          <w:sz w:val="24"/>
        </w:rPr>
        <w:t xml:space="preserve"> </w:t>
      </w:r>
      <w:r w:rsidRPr="009D6837">
        <w:rPr>
          <w:sz w:val="24"/>
        </w:rPr>
        <w:t>to</w:t>
      </w:r>
      <w:r w:rsidRPr="009D6837">
        <w:rPr>
          <w:spacing w:val="40"/>
          <w:sz w:val="24"/>
        </w:rPr>
        <w:t xml:space="preserve"> </w:t>
      </w:r>
      <w:r w:rsidRPr="009D6837">
        <w:rPr>
          <w:sz w:val="24"/>
        </w:rPr>
        <w:t>communicate</w:t>
      </w:r>
      <w:r w:rsidRPr="009D6837">
        <w:rPr>
          <w:spacing w:val="40"/>
          <w:sz w:val="24"/>
        </w:rPr>
        <w:t xml:space="preserve"> </w:t>
      </w:r>
      <w:r w:rsidRPr="009D6837">
        <w:rPr>
          <w:sz w:val="24"/>
        </w:rPr>
        <w:t>findings</w:t>
      </w:r>
      <w:r w:rsidRPr="009D6837">
        <w:rPr>
          <w:spacing w:val="40"/>
          <w:sz w:val="24"/>
        </w:rPr>
        <w:t xml:space="preserve"> </w:t>
      </w:r>
      <w:r w:rsidRPr="009D6837">
        <w:rPr>
          <w:sz w:val="24"/>
        </w:rPr>
        <w:t>and</w:t>
      </w:r>
      <w:r w:rsidRPr="009D6837">
        <w:rPr>
          <w:spacing w:val="40"/>
          <w:sz w:val="24"/>
        </w:rPr>
        <w:t xml:space="preserve"> </w:t>
      </w:r>
      <w:r w:rsidRPr="009D6837">
        <w:rPr>
          <w:sz w:val="24"/>
        </w:rPr>
        <w:t>recommendations</w:t>
      </w:r>
      <w:r w:rsidRPr="009D6837">
        <w:rPr>
          <w:spacing w:val="40"/>
          <w:sz w:val="24"/>
        </w:rPr>
        <w:t xml:space="preserve"> </w:t>
      </w:r>
      <w:r w:rsidR="00181B93" w:rsidRPr="009D6837">
        <w:rPr>
          <w:sz w:val="24"/>
        </w:rPr>
        <w:t>effectively</w:t>
      </w:r>
      <w:r w:rsidR="00181B93" w:rsidRPr="009D6837">
        <w:rPr>
          <w:spacing w:val="40"/>
          <w:sz w:val="24"/>
        </w:rPr>
        <w:t xml:space="preserve"> </w:t>
      </w:r>
      <w:r w:rsidRPr="009D6837">
        <w:rPr>
          <w:sz w:val="24"/>
        </w:rPr>
        <w:t>through</w:t>
      </w:r>
      <w:r w:rsidRPr="009D6837">
        <w:rPr>
          <w:spacing w:val="40"/>
          <w:sz w:val="24"/>
        </w:rPr>
        <w:t xml:space="preserve"> </w:t>
      </w:r>
      <w:r w:rsidRPr="009D6837">
        <w:rPr>
          <w:sz w:val="24"/>
        </w:rPr>
        <w:t>well-</w:t>
      </w:r>
      <w:r w:rsidRPr="009D6837">
        <w:rPr>
          <w:spacing w:val="80"/>
          <w:sz w:val="24"/>
        </w:rPr>
        <w:t xml:space="preserve"> </w:t>
      </w:r>
      <w:r w:rsidRPr="009D6837">
        <w:rPr>
          <w:sz w:val="24"/>
        </w:rPr>
        <w:t>structured reports, presentations, and visual aids.</w:t>
      </w:r>
    </w:p>
    <w:p w14:paraId="4013593E" w14:textId="77777777" w:rsidR="00DE1AF0" w:rsidRPr="009D6837" w:rsidRDefault="00A73242" w:rsidP="00181B93">
      <w:pPr>
        <w:pStyle w:val="ListeParagraf"/>
        <w:numPr>
          <w:ilvl w:val="0"/>
          <w:numId w:val="1"/>
        </w:numPr>
        <w:tabs>
          <w:tab w:val="left" w:pos="836"/>
        </w:tabs>
        <w:spacing w:before="36"/>
        <w:ind w:left="836" w:hanging="360"/>
        <w:jc w:val="both"/>
        <w:rPr>
          <w:sz w:val="24"/>
        </w:rPr>
      </w:pPr>
      <w:r w:rsidRPr="009D6837">
        <w:rPr>
          <w:sz w:val="24"/>
        </w:rPr>
        <w:t>Ability</w:t>
      </w:r>
      <w:r w:rsidRPr="009D6837">
        <w:rPr>
          <w:spacing w:val="-8"/>
          <w:sz w:val="24"/>
        </w:rPr>
        <w:t xml:space="preserve"> </w:t>
      </w:r>
      <w:r w:rsidRPr="009D6837">
        <w:rPr>
          <w:sz w:val="24"/>
        </w:rPr>
        <w:t>to travel without</w:t>
      </w:r>
      <w:r w:rsidRPr="009D6837">
        <w:rPr>
          <w:spacing w:val="1"/>
          <w:sz w:val="24"/>
        </w:rPr>
        <w:t xml:space="preserve"> </w:t>
      </w:r>
      <w:r w:rsidRPr="009D6837">
        <w:rPr>
          <w:spacing w:val="-2"/>
          <w:sz w:val="24"/>
        </w:rPr>
        <w:t>restriction.</w:t>
      </w:r>
    </w:p>
    <w:p w14:paraId="415375C4" w14:textId="77777777" w:rsidR="00776758" w:rsidRPr="009D6837" w:rsidRDefault="00A73242" w:rsidP="00181B93">
      <w:pPr>
        <w:pStyle w:val="ListeParagraf"/>
        <w:numPr>
          <w:ilvl w:val="0"/>
          <w:numId w:val="1"/>
        </w:numPr>
        <w:tabs>
          <w:tab w:val="left" w:pos="836"/>
        </w:tabs>
        <w:spacing w:before="40"/>
        <w:ind w:left="836" w:hanging="360"/>
        <w:jc w:val="both"/>
        <w:rPr>
          <w:sz w:val="24"/>
        </w:rPr>
      </w:pPr>
      <w:r w:rsidRPr="009D6837">
        <w:rPr>
          <w:sz w:val="24"/>
        </w:rPr>
        <w:t>Adaptable</w:t>
      </w:r>
      <w:r w:rsidRPr="009D6837">
        <w:rPr>
          <w:spacing w:val="-2"/>
          <w:sz w:val="24"/>
        </w:rPr>
        <w:t xml:space="preserve"> </w:t>
      </w:r>
      <w:r w:rsidRPr="009D6837">
        <w:rPr>
          <w:sz w:val="24"/>
        </w:rPr>
        <w:t>to</w:t>
      </w:r>
      <w:r w:rsidRPr="009D6837">
        <w:rPr>
          <w:spacing w:val="-1"/>
          <w:sz w:val="24"/>
        </w:rPr>
        <w:t xml:space="preserve"> </w:t>
      </w:r>
      <w:r w:rsidRPr="009D6837">
        <w:rPr>
          <w:sz w:val="24"/>
        </w:rPr>
        <w:t>flexible</w:t>
      </w:r>
      <w:r w:rsidRPr="009D6837">
        <w:rPr>
          <w:spacing w:val="-2"/>
          <w:sz w:val="24"/>
        </w:rPr>
        <w:t xml:space="preserve"> </w:t>
      </w:r>
      <w:r w:rsidRPr="009D6837">
        <w:rPr>
          <w:sz w:val="24"/>
        </w:rPr>
        <w:t>working</w:t>
      </w:r>
      <w:r w:rsidRPr="009D6837">
        <w:rPr>
          <w:spacing w:val="-2"/>
          <w:sz w:val="24"/>
        </w:rPr>
        <w:t xml:space="preserve"> hours.</w:t>
      </w:r>
    </w:p>
    <w:p w14:paraId="39D9BCAA" w14:textId="77777777" w:rsidR="00776758" w:rsidRPr="009D6837" w:rsidRDefault="00776758" w:rsidP="00181B93">
      <w:pPr>
        <w:pStyle w:val="ListeParagraf"/>
        <w:numPr>
          <w:ilvl w:val="0"/>
          <w:numId w:val="1"/>
        </w:numPr>
        <w:tabs>
          <w:tab w:val="left" w:pos="836"/>
        </w:tabs>
        <w:spacing w:before="40"/>
        <w:ind w:left="836" w:hanging="360"/>
        <w:jc w:val="both"/>
        <w:rPr>
          <w:sz w:val="24"/>
        </w:rPr>
      </w:pPr>
      <w:r w:rsidRPr="009D6837">
        <w:rPr>
          <w:sz w:val="24"/>
        </w:rPr>
        <w:t>Excellent interpersonal and communications skills.</w:t>
      </w:r>
    </w:p>
    <w:p w14:paraId="0A252858" w14:textId="44793315" w:rsidR="00D70B43" w:rsidRPr="009D6837" w:rsidRDefault="00D70B43" w:rsidP="009D6837">
      <w:pPr>
        <w:tabs>
          <w:tab w:val="left" w:pos="836"/>
        </w:tabs>
        <w:spacing w:before="41"/>
        <w:jc w:val="both"/>
        <w:rPr>
          <w:sz w:val="24"/>
        </w:rPr>
      </w:pPr>
    </w:p>
    <w:p w14:paraId="2E8735A2" w14:textId="77777777" w:rsidR="00D70B43" w:rsidRPr="009D6837" w:rsidRDefault="00D70B43" w:rsidP="00ED0875">
      <w:pPr>
        <w:pStyle w:val="Balk1"/>
        <w:ind w:left="0"/>
      </w:pPr>
      <w:r w:rsidRPr="009D6837">
        <w:t>DURATION</w:t>
      </w:r>
      <w:r w:rsidRPr="009D6837">
        <w:rPr>
          <w:spacing w:val="-1"/>
        </w:rPr>
        <w:t xml:space="preserve"> </w:t>
      </w:r>
      <w:r w:rsidRPr="009D6837">
        <w:t>AND</w:t>
      </w:r>
      <w:r w:rsidRPr="009D6837">
        <w:rPr>
          <w:spacing w:val="-1"/>
        </w:rPr>
        <w:t xml:space="preserve"> </w:t>
      </w:r>
      <w:r w:rsidRPr="009D6837">
        <w:t>LOCATION OF</w:t>
      </w:r>
      <w:r w:rsidRPr="009D6837">
        <w:rPr>
          <w:spacing w:val="-3"/>
        </w:rPr>
        <w:t xml:space="preserve"> </w:t>
      </w:r>
      <w:r w:rsidRPr="009D6837">
        <w:rPr>
          <w:spacing w:val="-2"/>
        </w:rPr>
        <w:t>EMPLOYMENT</w:t>
      </w:r>
    </w:p>
    <w:p w14:paraId="14216092" w14:textId="77777777" w:rsidR="00D70B43" w:rsidRPr="009D6837" w:rsidRDefault="00D70B43" w:rsidP="00D70B43">
      <w:pPr>
        <w:tabs>
          <w:tab w:val="left" w:pos="836"/>
        </w:tabs>
        <w:spacing w:line="276" w:lineRule="auto"/>
        <w:ind w:right="119"/>
        <w:rPr>
          <w:sz w:val="24"/>
          <w:szCs w:val="24"/>
        </w:rPr>
      </w:pPr>
    </w:p>
    <w:p w14:paraId="5F8276E9" w14:textId="06368118" w:rsidR="00D70B43" w:rsidRPr="009D6837" w:rsidRDefault="00D70B43" w:rsidP="00D70B43">
      <w:pPr>
        <w:pStyle w:val="ListeParagraf"/>
        <w:numPr>
          <w:ilvl w:val="0"/>
          <w:numId w:val="1"/>
        </w:numPr>
        <w:tabs>
          <w:tab w:val="left" w:pos="836"/>
        </w:tabs>
        <w:spacing w:before="38" w:line="273" w:lineRule="auto"/>
        <w:ind w:right="114"/>
        <w:jc w:val="both"/>
        <w:rPr>
          <w:sz w:val="24"/>
          <w:szCs w:val="24"/>
        </w:rPr>
      </w:pPr>
      <w:r w:rsidRPr="009D6837">
        <w:rPr>
          <w:sz w:val="24"/>
          <w:szCs w:val="24"/>
        </w:rPr>
        <w:t xml:space="preserve">The </w:t>
      </w:r>
      <w:r w:rsidR="00BF2996">
        <w:rPr>
          <w:sz w:val="24"/>
          <w:szCs w:val="24"/>
        </w:rPr>
        <w:t>Environmental</w:t>
      </w:r>
      <w:r w:rsidRPr="009D6837">
        <w:rPr>
          <w:sz w:val="24"/>
          <w:szCs w:val="24"/>
        </w:rPr>
        <w:t xml:space="preserve"> </w:t>
      </w:r>
      <w:r w:rsidR="001B32AC">
        <w:rPr>
          <w:sz w:val="24"/>
          <w:szCs w:val="24"/>
        </w:rPr>
        <w:t>Consultant</w:t>
      </w:r>
      <w:r w:rsidRPr="009D6837">
        <w:rPr>
          <w:sz w:val="24"/>
          <w:szCs w:val="24"/>
        </w:rPr>
        <w:t xml:space="preserve"> will be based in Ankara as a member of the Project Implementation Unit of the TÜBİTAK. The Project has a 6-year duration. The planned duration of service of the </w:t>
      </w:r>
      <w:r w:rsidR="00BF2996">
        <w:rPr>
          <w:sz w:val="24"/>
          <w:szCs w:val="24"/>
        </w:rPr>
        <w:t>Environmental</w:t>
      </w:r>
      <w:r w:rsidRPr="009D6837">
        <w:rPr>
          <w:sz w:val="24"/>
          <w:szCs w:val="24"/>
        </w:rPr>
        <w:t xml:space="preserve"> </w:t>
      </w:r>
      <w:r w:rsidR="001B32AC">
        <w:rPr>
          <w:sz w:val="24"/>
          <w:szCs w:val="24"/>
        </w:rPr>
        <w:t>Consultant</w:t>
      </w:r>
      <w:r w:rsidRPr="009D6837">
        <w:rPr>
          <w:sz w:val="24"/>
          <w:szCs w:val="24"/>
        </w:rPr>
        <w:t xml:space="preserve"> </w:t>
      </w:r>
      <w:r w:rsidRPr="008A7042">
        <w:rPr>
          <w:sz w:val="24"/>
          <w:szCs w:val="24"/>
        </w:rPr>
        <w:t xml:space="preserve">is </w:t>
      </w:r>
      <w:r w:rsidRPr="00EF4871">
        <w:rPr>
          <w:sz w:val="24"/>
          <w:szCs w:val="24"/>
        </w:rPr>
        <w:t xml:space="preserve">foreseen to start in the </w:t>
      </w:r>
      <w:r w:rsidR="007C7130">
        <w:rPr>
          <w:sz w:val="24"/>
          <w:szCs w:val="24"/>
        </w:rPr>
        <w:t>second</w:t>
      </w:r>
      <w:r w:rsidR="00EF4871" w:rsidRPr="00EF4871">
        <w:rPr>
          <w:sz w:val="24"/>
          <w:szCs w:val="24"/>
        </w:rPr>
        <w:t xml:space="preserve"> quarter of 202</w:t>
      </w:r>
      <w:r w:rsidR="007C7130">
        <w:rPr>
          <w:sz w:val="24"/>
          <w:szCs w:val="24"/>
        </w:rPr>
        <w:t>6</w:t>
      </w:r>
      <w:r w:rsidRPr="00EF4871">
        <w:rPr>
          <w:sz w:val="24"/>
          <w:szCs w:val="24"/>
        </w:rPr>
        <w:t xml:space="preserve">. The </w:t>
      </w:r>
      <w:r w:rsidR="00BF2996" w:rsidRPr="00EF4871">
        <w:rPr>
          <w:sz w:val="24"/>
          <w:szCs w:val="24"/>
        </w:rPr>
        <w:t xml:space="preserve">Environmental </w:t>
      </w:r>
      <w:r w:rsidR="001B32AC" w:rsidRPr="00EF4871">
        <w:rPr>
          <w:sz w:val="24"/>
          <w:szCs w:val="24"/>
        </w:rPr>
        <w:t>Consultant</w:t>
      </w:r>
      <w:r w:rsidRPr="00EF4871">
        <w:rPr>
          <w:sz w:val="24"/>
          <w:szCs w:val="24"/>
        </w:rPr>
        <w:t xml:space="preserve"> will be employed on a full-time basis. Contracts will be </w:t>
      </w:r>
      <w:r w:rsidR="001B32AC" w:rsidRPr="00EF4871">
        <w:rPr>
          <w:sz w:val="24"/>
          <w:szCs w:val="24"/>
        </w:rPr>
        <w:t>issued annually and there is a 2</w:t>
      </w:r>
      <w:r w:rsidRPr="00EF4871">
        <w:rPr>
          <w:sz w:val="24"/>
          <w:szCs w:val="24"/>
        </w:rPr>
        <w:t>- month trial</w:t>
      </w:r>
      <w:r w:rsidRPr="009D6837">
        <w:rPr>
          <w:sz w:val="24"/>
          <w:szCs w:val="24"/>
        </w:rPr>
        <w:t xml:space="preserve"> period. Contracts may be renewed depending on the needs of the Administration, the performance of the </w:t>
      </w:r>
      <w:r w:rsidR="001B32AC">
        <w:rPr>
          <w:sz w:val="24"/>
          <w:szCs w:val="24"/>
        </w:rPr>
        <w:t>Consultant</w:t>
      </w:r>
      <w:r w:rsidRPr="009D6837">
        <w:rPr>
          <w:sz w:val="24"/>
          <w:szCs w:val="24"/>
        </w:rPr>
        <w:t xml:space="preserve"> and the status of the financial source. </w:t>
      </w:r>
    </w:p>
    <w:p w14:paraId="2B18B97D" w14:textId="77777777" w:rsidR="00D70B43" w:rsidRPr="009D6837" w:rsidRDefault="00D70B43" w:rsidP="00D70B43">
      <w:pPr>
        <w:tabs>
          <w:tab w:val="left" w:pos="836"/>
        </w:tabs>
        <w:spacing w:line="276" w:lineRule="auto"/>
        <w:ind w:right="119"/>
        <w:rPr>
          <w:sz w:val="24"/>
        </w:rPr>
      </w:pPr>
    </w:p>
    <w:p w14:paraId="78CC68B9" w14:textId="562C19E9" w:rsidR="00DE1AF0" w:rsidRPr="009D6837" w:rsidRDefault="00742875" w:rsidP="009D6837">
      <w:pPr>
        <w:tabs>
          <w:tab w:val="left" w:pos="836"/>
        </w:tabs>
        <w:spacing w:before="38" w:line="273" w:lineRule="auto"/>
        <w:ind w:right="114"/>
        <w:jc w:val="both"/>
        <w:rPr>
          <w:sz w:val="24"/>
        </w:rPr>
      </w:pPr>
      <w:r w:rsidRPr="009D6837">
        <w:rPr>
          <w:sz w:val="24"/>
        </w:rPr>
        <w:t xml:space="preserve"> </w:t>
      </w:r>
    </w:p>
    <w:sectPr w:rsidR="00DE1AF0" w:rsidRPr="009D6837">
      <w:footerReference w:type="even" r:id="rId11"/>
      <w:footerReference w:type="default" r:id="rId12"/>
      <w:footerReference w:type="first" r:id="rId13"/>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9885" w14:textId="77777777" w:rsidR="001738D9" w:rsidRDefault="001738D9" w:rsidP="00A07778">
      <w:r>
        <w:separator/>
      </w:r>
    </w:p>
  </w:endnote>
  <w:endnote w:type="continuationSeparator" w:id="0">
    <w:p w14:paraId="297ECB38" w14:textId="77777777" w:rsidR="001738D9" w:rsidRDefault="001738D9" w:rsidP="00A0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7230" w14:textId="5A86E77A" w:rsidR="0081315F" w:rsidRDefault="0081315F">
    <w:pPr>
      <w:pStyle w:val="AltBilgi"/>
    </w:pPr>
    <w:r>
      <w:rPr>
        <w:noProof/>
        <w:lang w:val="tr-TR" w:eastAsia="tr-TR"/>
      </w:rPr>
      <mc:AlternateContent>
        <mc:Choice Requires="wps">
          <w:drawing>
            <wp:anchor distT="0" distB="0" distL="0" distR="0" simplePos="0" relativeHeight="251659264" behindDoc="0" locked="0" layoutInCell="1" allowOverlap="1" wp14:anchorId="046B1A5A" wp14:editId="246C4DC7">
              <wp:simplePos x="635" y="635"/>
              <wp:positionH relativeFrom="page">
                <wp:align>right</wp:align>
              </wp:positionH>
              <wp:positionV relativeFrom="page">
                <wp:align>bottom</wp:align>
              </wp:positionV>
              <wp:extent cx="1172210" cy="345440"/>
              <wp:effectExtent l="0" t="0" r="0" b="0"/>
              <wp:wrapNone/>
              <wp:docPr id="2125892019" name="Text Box 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7CEA917" w14:textId="6E399D1C" w:rsidR="0081315F" w:rsidRPr="0081315F" w:rsidRDefault="0081315F" w:rsidP="0081315F">
                          <w:pPr>
                            <w:rPr>
                              <w:rFonts w:ascii="Aptos" w:eastAsia="Aptos" w:hAnsi="Aptos" w:cs="Aptos"/>
                              <w:noProof/>
                              <w:color w:val="000000"/>
                              <w:sz w:val="20"/>
                              <w:szCs w:val="20"/>
                            </w:rPr>
                          </w:pPr>
                          <w:r w:rsidRPr="0081315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6B1A5A"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fill o:detectmouseclick="t"/>
              <v:textbox style="mso-fit-shape-to-text:t" inset="0,0,20pt,15pt">
                <w:txbxContent>
                  <w:p w14:paraId="17CEA917" w14:textId="6E399D1C" w:rsidR="0081315F" w:rsidRPr="0081315F" w:rsidRDefault="0081315F" w:rsidP="0081315F">
                    <w:pPr>
                      <w:rPr>
                        <w:rFonts w:ascii="Aptos" w:eastAsia="Aptos" w:hAnsi="Aptos" w:cs="Aptos"/>
                        <w:noProof/>
                        <w:color w:val="000000"/>
                        <w:sz w:val="20"/>
                        <w:szCs w:val="20"/>
                      </w:rPr>
                    </w:pPr>
                    <w:r w:rsidRPr="0081315F">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71DE" w14:textId="4BC8CB64" w:rsidR="0081315F" w:rsidRDefault="0081315F">
    <w:pPr>
      <w:pStyle w:val="AltBilgi"/>
    </w:pPr>
    <w:r>
      <w:rPr>
        <w:noProof/>
        <w:lang w:val="tr-TR" w:eastAsia="tr-TR"/>
      </w:rPr>
      <mc:AlternateContent>
        <mc:Choice Requires="wps">
          <w:drawing>
            <wp:anchor distT="0" distB="0" distL="0" distR="0" simplePos="0" relativeHeight="251660288" behindDoc="0" locked="0" layoutInCell="1" allowOverlap="1" wp14:anchorId="712F9B75" wp14:editId="69432486">
              <wp:simplePos x="825335" y="10082151"/>
              <wp:positionH relativeFrom="page">
                <wp:align>right</wp:align>
              </wp:positionH>
              <wp:positionV relativeFrom="page">
                <wp:align>bottom</wp:align>
              </wp:positionV>
              <wp:extent cx="1172210" cy="345440"/>
              <wp:effectExtent l="0" t="0" r="0" b="0"/>
              <wp:wrapNone/>
              <wp:docPr id="1014286144" name="Text Box 3"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425CE37" w14:textId="7964E294" w:rsidR="0081315F" w:rsidRPr="0081315F" w:rsidRDefault="0081315F" w:rsidP="0081315F">
                          <w:pPr>
                            <w:rPr>
                              <w:rFonts w:ascii="Aptos" w:eastAsia="Aptos" w:hAnsi="Aptos" w:cs="Aptos"/>
                              <w:noProof/>
                              <w:color w:val="000000"/>
                              <w:sz w:val="20"/>
                              <w:szCs w:val="20"/>
                            </w:rPr>
                          </w:pPr>
                          <w:r w:rsidRPr="0081315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2F9B75"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fill o:detectmouseclick="t"/>
              <v:textbox style="mso-fit-shape-to-text:t" inset="0,0,20pt,15pt">
                <w:txbxContent>
                  <w:p w14:paraId="4425CE37" w14:textId="7964E294" w:rsidR="0081315F" w:rsidRPr="0081315F" w:rsidRDefault="0081315F" w:rsidP="0081315F">
                    <w:pPr>
                      <w:rPr>
                        <w:rFonts w:ascii="Aptos" w:eastAsia="Aptos" w:hAnsi="Aptos" w:cs="Aptos"/>
                        <w:noProof/>
                        <w:color w:val="000000"/>
                        <w:sz w:val="20"/>
                        <w:szCs w:val="20"/>
                      </w:rPr>
                    </w:pPr>
                    <w:r w:rsidRPr="0081315F">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E2B1B" w14:textId="6FE3B416" w:rsidR="0081315F" w:rsidRDefault="0081315F">
    <w:pPr>
      <w:pStyle w:val="AltBilgi"/>
    </w:pPr>
    <w:r>
      <w:rPr>
        <w:noProof/>
        <w:lang w:val="tr-TR" w:eastAsia="tr-TR"/>
      </w:rPr>
      <mc:AlternateContent>
        <mc:Choice Requires="wps">
          <w:drawing>
            <wp:anchor distT="0" distB="0" distL="0" distR="0" simplePos="0" relativeHeight="251658240" behindDoc="0" locked="0" layoutInCell="1" allowOverlap="1" wp14:anchorId="0D80A243" wp14:editId="162EB2AB">
              <wp:simplePos x="635" y="635"/>
              <wp:positionH relativeFrom="page">
                <wp:align>right</wp:align>
              </wp:positionH>
              <wp:positionV relativeFrom="page">
                <wp:align>bottom</wp:align>
              </wp:positionV>
              <wp:extent cx="1172210" cy="345440"/>
              <wp:effectExtent l="0" t="0" r="0" b="0"/>
              <wp:wrapNone/>
              <wp:docPr id="1381708937" name="Text Box 1"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D61E0C1" w14:textId="6EF81B16" w:rsidR="0081315F" w:rsidRPr="0081315F" w:rsidRDefault="0081315F" w:rsidP="0081315F">
                          <w:pPr>
                            <w:rPr>
                              <w:rFonts w:ascii="Aptos" w:eastAsia="Aptos" w:hAnsi="Aptos" w:cs="Aptos"/>
                              <w:noProof/>
                              <w:color w:val="000000"/>
                              <w:sz w:val="20"/>
                              <w:szCs w:val="20"/>
                            </w:rPr>
                          </w:pPr>
                          <w:r w:rsidRPr="0081315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80A243"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fill o:detectmouseclick="t"/>
              <v:textbox style="mso-fit-shape-to-text:t" inset="0,0,20pt,15pt">
                <w:txbxContent>
                  <w:p w14:paraId="3D61E0C1" w14:textId="6EF81B16" w:rsidR="0081315F" w:rsidRPr="0081315F" w:rsidRDefault="0081315F" w:rsidP="0081315F">
                    <w:pPr>
                      <w:rPr>
                        <w:rFonts w:ascii="Aptos" w:eastAsia="Aptos" w:hAnsi="Aptos" w:cs="Aptos"/>
                        <w:noProof/>
                        <w:color w:val="000000"/>
                        <w:sz w:val="20"/>
                        <w:szCs w:val="20"/>
                      </w:rPr>
                    </w:pPr>
                    <w:r w:rsidRPr="0081315F">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43A0E" w14:textId="77777777" w:rsidR="001738D9" w:rsidRDefault="001738D9" w:rsidP="00A07778">
      <w:r>
        <w:separator/>
      </w:r>
    </w:p>
  </w:footnote>
  <w:footnote w:type="continuationSeparator" w:id="0">
    <w:p w14:paraId="09F0CAC0" w14:textId="77777777" w:rsidR="001738D9" w:rsidRDefault="001738D9" w:rsidP="00A07778">
      <w:r>
        <w:continuationSeparator/>
      </w:r>
    </w:p>
  </w:footnote>
  <w:footnote w:id="1">
    <w:p w14:paraId="41BA5759" w14:textId="77777777" w:rsidR="00A07778" w:rsidRPr="00A07778" w:rsidRDefault="00A07778">
      <w:pPr>
        <w:pStyle w:val="DipnotMetni"/>
        <w:rPr>
          <w:sz w:val="14"/>
          <w:lang w:val="tr-TR"/>
        </w:rPr>
      </w:pPr>
      <w:r w:rsidRPr="00A07778">
        <w:rPr>
          <w:rStyle w:val="DipnotBavurusu"/>
          <w:sz w:val="14"/>
        </w:rPr>
        <w:footnoteRef/>
      </w:r>
      <w:r w:rsidRPr="00A07778">
        <w:rPr>
          <w:sz w:val="14"/>
        </w:rPr>
        <w:t xml:space="preserve"> </w:t>
      </w:r>
      <w:r w:rsidRPr="00A07778">
        <w:rPr>
          <w:sz w:val="14"/>
          <w:lang w:val="tr-TR"/>
        </w:rPr>
        <w:t>Subcomponent 3.1; Call URL: https://tubitak.gov.tr/en/funds/industry/national-support-programmes/content-1831-climate-informed-and-green-innovation-technology-extension-program</w:t>
      </w:r>
    </w:p>
  </w:footnote>
  <w:footnote w:id="2">
    <w:p w14:paraId="24B5DA62" w14:textId="77777777" w:rsidR="00A07778" w:rsidRPr="00A07778" w:rsidRDefault="00A07778">
      <w:pPr>
        <w:pStyle w:val="DipnotMetni"/>
        <w:rPr>
          <w:sz w:val="14"/>
          <w:lang w:val="tr-TR"/>
        </w:rPr>
      </w:pPr>
      <w:r w:rsidRPr="00A07778">
        <w:rPr>
          <w:rStyle w:val="DipnotBavurusu"/>
          <w:sz w:val="14"/>
        </w:rPr>
        <w:footnoteRef/>
      </w:r>
      <w:r w:rsidRPr="00A07778">
        <w:rPr>
          <w:sz w:val="14"/>
        </w:rPr>
        <w:t xml:space="preserve"> </w:t>
      </w:r>
      <w:r w:rsidRPr="00A07778">
        <w:rPr>
          <w:sz w:val="14"/>
          <w:lang w:val="tr-TR"/>
        </w:rPr>
        <w:t>Subcomponent 3.2; Call URL: https://tubitak.gov.tr/en/funds/industry/national-support-programmes/content-1832-call-for-green-transformation-in-industry</w:t>
      </w:r>
    </w:p>
  </w:footnote>
  <w:footnote w:id="3">
    <w:p w14:paraId="6F87AE67" w14:textId="77777777" w:rsidR="00A07778" w:rsidRPr="00A07778" w:rsidRDefault="00A07778">
      <w:pPr>
        <w:pStyle w:val="DipnotMetni"/>
        <w:rPr>
          <w:lang w:val="tr-TR"/>
        </w:rPr>
      </w:pPr>
      <w:r w:rsidRPr="00A07778">
        <w:rPr>
          <w:rStyle w:val="DipnotBavurusu"/>
          <w:sz w:val="14"/>
        </w:rPr>
        <w:footnoteRef/>
      </w:r>
      <w:r w:rsidRPr="00A07778">
        <w:rPr>
          <w:sz w:val="14"/>
        </w:rPr>
        <w:t xml:space="preserve"> </w:t>
      </w:r>
      <w:r w:rsidRPr="00A07778">
        <w:rPr>
          <w:sz w:val="14"/>
          <w:lang w:val="tr-TR"/>
        </w:rPr>
        <w:t>Subcomponent 3.3; Call URL: https://tubitak.gov.tr/en/funds/industry/national-support-programmes/content-1833-sayem-green-transformation-call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9B3"/>
    <w:multiLevelType w:val="hybridMultilevel"/>
    <w:tmpl w:val="3086FD50"/>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 w15:restartNumberingAfterBreak="0">
    <w:nsid w:val="069065A8"/>
    <w:multiLevelType w:val="hybridMultilevel"/>
    <w:tmpl w:val="1ECA7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2F46C9"/>
    <w:multiLevelType w:val="hybridMultilevel"/>
    <w:tmpl w:val="B512F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682670"/>
    <w:multiLevelType w:val="hybridMultilevel"/>
    <w:tmpl w:val="1E1C646E"/>
    <w:lvl w:ilvl="0" w:tplc="2AF8D7C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43A8F"/>
    <w:multiLevelType w:val="hybridMultilevel"/>
    <w:tmpl w:val="973C7892"/>
    <w:lvl w:ilvl="0" w:tplc="DEEED15E">
      <w:numFmt w:val="bullet"/>
      <w:lvlText w:val=""/>
      <w:lvlJc w:val="left"/>
      <w:pPr>
        <w:ind w:left="682" w:hanging="284"/>
      </w:pPr>
      <w:rPr>
        <w:rFonts w:ascii="Symbol" w:eastAsia="Symbol" w:hAnsi="Symbol" w:cs="Symbol" w:hint="default"/>
        <w:b w:val="0"/>
        <w:bCs w:val="0"/>
        <w:i w:val="0"/>
        <w:iCs w:val="0"/>
        <w:spacing w:val="0"/>
        <w:w w:val="100"/>
        <w:sz w:val="24"/>
        <w:szCs w:val="24"/>
        <w:lang w:val="en-US" w:eastAsia="en-US" w:bidi="ar-SA"/>
      </w:rPr>
    </w:lvl>
    <w:lvl w:ilvl="1" w:tplc="7DA8FF76">
      <w:numFmt w:val="bullet"/>
      <w:lvlText w:val="•"/>
      <w:lvlJc w:val="left"/>
      <w:pPr>
        <w:ind w:left="1542" w:hanging="284"/>
      </w:pPr>
      <w:rPr>
        <w:rFonts w:hint="default"/>
        <w:lang w:val="en-US" w:eastAsia="en-US" w:bidi="ar-SA"/>
      </w:rPr>
    </w:lvl>
    <w:lvl w:ilvl="2" w:tplc="DFAAFDB6">
      <w:numFmt w:val="bullet"/>
      <w:lvlText w:val="•"/>
      <w:lvlJc w:val="left"/>
      <w:pPr>
        <w:ind w:left="2405" w:hanging="284"/>
      </w:pPr>
      <w:rPr>
        <w:rFonts w:hint="default"/>
        <w:lang w:val="en-US" w:eastAsia="en-US" w:bidi="ar-SA"/>
      </w:rPr>
    </w:lvl>
    <w:lvl w:ilvl="3" w:tplc="F594CCC6">
      <w:numFmt w:val="bullet"/>
      <w:lvlText w:val="•"/>
      <w:lvlJc w:val="left"/>
      <w:pPr>
        <w:ind w:left="3267" w:hanging="284"/>
      </w:pPr>
      <w:rPr>
        <w:rFonts w:hint="default"/>
        <w:lang w:val="en-US" w:eastAsia="en-US" w:bidi="ar-SA"/>
      </w:rPr>
    </w:lvl>
    <w:lvl w:ilvl="4" w:tplc="779049CE">
      <w:numFmt w:val="bullet"/>
      <w:lvlText w:val="•"/>
      <w:lvlJc w:val="left"/>
      <w:pPr>
        <w:ind w:left="4130" w:hanging="284"/>
      </w:pPr>
      <w:rPr>
        <w:rFonts w:hint="default"/>
        <w:lang w:val="en-US" w:eastAsia="en-US" w:bidi="ar-SA"/>
      </w:rPr>
    </w:lvl>
    <w:lvl w:ilvl="5" w:tplc="D2CC5318">
      <w:numFmt w:val="bullet"/>
      <w:lvlText w:val="•"/>
      <w:lvlJc w:val="left"/>
      <w:pPr>
        <w:ind w:left="4993" w:hanging="284"/>
      </w:pPr>
      <w:rPr>
        <w:rFonts w:hint="default"/>
        <w:lang w:val="en-US" w:eastAsia="en-US" w:bidi="ar-SA"/>
      </w:rPr>
    </w:lvl>
    <w:lvl w:ilvl="6" w:tplc="116470CE">
      <w:numFmt w:val="bullet"/>
      <w:lvlText w:val="•"/>
      <w:lvlJc w:val="left"/>
      <w:pPr>
        <w:ind w:left="5855" w:hanging="284"/>
      </w:pPr>
      <w:rPr>
        <w:rFonts w:hint="default"/>
        <w:lang w:val="en-US" w:eastAsia="en-US" w:bidi="ar-SA"/>
      </w:rPr>
    </w:lvl>
    <w:lvl w:ilvl="7" w:tplc="0CA0C6A6">
      <w:numFmt w:val="bullet"/>
      <w:lvlText w:val="•"/>
      <w:lvlJc w:val="left"/>
      <w:pPr>
        <w:ind w:left="6718" w:hanging="284"/>
      </w:pPr>
      <w:rPr>
        <w:rFonts w:hint="default"/>
        <w:lang w:val="en-US" w:eastAsia="en-US" w:bidi="ar-SA"/>
      </w:rPr>
    </w:lvl>
    <w:lvl w:ilvl="8" w:tplc="56266B68">
      <w:numFmt w:val="bullet"/>
      <w:lvlText w:val="•"/>
      <w:lvlJc w:val="left"/>
      <w:pPr>
        <w:ind w:left="7581" w:hanging="284"/>
      </w:pPr>
      <w:rPr>
        <w:rFonts w:hint="default"/>
        <w:lang w:val="en-US" w:eastAsia="en-US" w:bidi="ar-SA"/>
      </w:rPr>
    </w:lvl>
  </w:abstractNum>
  <w:abstractNum w:abstractNumId="5" w15:restartNumberingAfterBreak="0">
    <w:nsid w:val="25C52D19"/>
    <w:multiLevelType w:val="hybridMultilevel"/>
    <w:tmpl w:val="B9546A80"/>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6" w15:restartNumberingAfterBreak="0">
    <w:nsid w:val="2ADC76CB"/>
    <w:multiLevelType w:val="hybridMultilevel"/>
    <w:tmpl w:val="744298CC"/>
    <w:lvl w:ilvl="0" w:tplc="041F0017">
      <w:start w:val="1"/>
      <w:numFmt w:val="lowerLetter"/>
      <w:lvlText w:val="%1)"/>
      <w:lvlJc w:val="left"/>
      <w:pPr>
        <w:ind w:left="720" w:hanging="360"/>
      </w:pPr>
    </w:lvl>
    <w:lvl w:ilvl="1" w:tplc="224AE6C4">
      <w:start w:val="1"/>
      <w:numFmt w:val="lowerRoman"/>
      <w:lvlText w:val="%2."/>
      <w:lvlJc w:val="right"/>
      <w:pPr>
        <w:ind w:left="1440" w:hanging="360"/>
      </w:pPr>
      <w:rPr>
        <w:i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2D312C"/>
    <w:multiLevelType w:val="hybridMultilevel"/>
    <w:tmpl w:val="9640AE7C"/>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8" w15:restartNumberingAfterBreak="0">
    <w:nsid w:val="3023745F"/>
    <w:multiLevelType w:val="hybridMultilevel"/>
    <w:tmpl w:val="87D21D44"/>
    <w:lvl w:ilvl="0" w:tplc="260E31C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D2908C88">
      <w:numFmt w:val="bullet"/>
      <w:lvlText w:val="•"/>
      <w:lvlJc w:val="left"/>
      <w:pPr>
        <w:ind w:left="2024" w:hanging="360"/>
      </w:pPr>
      <w:rPr>
        <w:rFonts w:hint="default"/>
        <w:lang w:val="en-US" w:eastAsia="en-US" w:bidi="ar-SA"/>
      </w:rPr>
    </w:lvl>
    <w:lvl w:ilvl="2" w:tplc="E36E95C6">
      <w:numFmt w:val="bullet"/>
      <w:lvlText w:val="•"/>
      <w:lvlJc w:val="left"/>
      <w:pPr>
        <w:ind w:left="2849" w:hanging="360"/>
      </w:pPr>
      <w:rPr>
        <w:rFonts w:hint="default"/>
        <w:lang w:val="en-US" w:eastAsia="en-US" w:bidi="ar-SA"/>
      </w:rPr>
    </w:lvl>
    <w:lvl w:ilvl="3" w:tplc="3776032C">
      <w:numFmt w:val="bullet"/>
      <w:lvlText w:val="•"/>
      <w:lvlJc w:val="left"/>
      <w:pPr>
        <w:ind w:left="3673" w:hanging="360"/>
      </w:pPr>
      <w:rPr>
        <w:rFonts w:hint="default"/>
        <w:lang w:val="en-US" w:eastAsia="en-US" w:bidi="ar-SA"/>
      </w:rPr>
    </w:lvl>
    <w:lvl w:ilvl="4" w:tplc="050634F8">
      <w:numFmt w:val="bullet"/>
      <w:lvlText w:val="•"/>
      <w:lvlJc w:val="left"/>
      <w:pPr>
        <w:ind w:left="4498" w:hanging="360"/>
      </w:pPr>
      <w:rPr>
        <w:rFonts w:hint="default"/>
        <w:lang w:val="en-US" w:eastAsia="en-US" w:bidi="ar-SA"/>
      </w:rPr>
    </w:lvl>
    <w:lvl w:ilvl="5" w:tplc="74A09DE4">
      <w:numFmt w:val="bullet"/>
      <w:lvlText w:val="•"/>
      <w:lvlJc w:val="left"/>
      <w:pPr>
        <w:ind w:left="5323" w:hanging="360"/>
      </w:pPr>
      <w:rPr>
        <w:rFonts w:hint="default"/>
        <w:lang w:val="en-US" w:eastAsia="en-US" w:bidi="ar-SA"/>
      </w:rPr>
    </w:lvl>
    <w:lvl w:ilvl="6" w:tplc="B55E4C0C">
      <w:numFmt w:val="bullet"/>
      <w:lvlText w:val="•"/>
      <w:lvlJc w:val="left"/>
      <w:pPr>
        <w:ind w:left="6147" w:hanging="360"/>
      </w:pPr>
      <w:rPr>
        <w:rFonts w:hint="default"/>
        <w:lang w:val="en-US" w:eastAsia="en-US" w:bidi="ar-SA"/>
      </w:rPr>
    </w:lvl>
    <w:lvl w:ilvl="7" w:tplc="F3F22B9C">
      <w:numFmt w:val="bullet"/>
      <w:lvlText w:val="•"/>
      <w:lvlJc w:val="left"/>
      <w:pPr>
        <w:ind w:left="6972" w:hanging="360"/>
      </w:pPr>
      <w:rPr>
        <w:rFonts w:hint="default"/>
        <w:lang w:val="en-US" w:eastAsia="en-US" w:bidi="ar-SA"/>
      </w:rPr>
    </w:lvl>
    <w:lvl w:ilvl="8" w:tplc="48E4BEDA">
      <w:numFmt w:val="bullet"/>
      <w:lvlText w:val="•"/>
      <w:lvlJc w:val="left"/>
      <w:pPr>
        <w:ind w:left="7797" w:hanging="360"/>
      </w:pPr>
      <w:rPr>
        <w:rFonts w:hint="default"/>
        <w:lang w:val="en-US" w:eastAsia="en-US" w:bidi="ar-SA"/>
      </w:rPr>
    </w:lvl>
  </w:abstractNum>
  <w:abstractNum w:abstractNumId="9" w15:restartNumberingAfterBreak="0">
    <w:nsid w:val="33132D48"/>
    <w:multiLevelType w:val="hybridMultilevel"/>
    <w:tmpl w:val="D76AB754"/>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0" w15:restartNumberingAfterBreak="0">
    <w:nsid w:val="3B4871AC"/>
    <w:multiLevelType w:val="hybridMultilevel"/>
    <w:tmpl w:val="3CC83660"/>
    <w:lvl w:ilvl="0" w:tplc="04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F72B8D"/>
    <w:multiLevelType w:val="hybridMultilevel"/>
    <w:tmpl w:val="4B2AF24C"/>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2" w15:restartNumberingAfterBreak="0">
    <w:nsid w:val="6A8D0396"/>
    <w:multiLevelType w:val="hybridMultilevel"/>
    <w:tmpl w:val="A6C8CD9E"/>
    <w:lvl w:ilvl="0" w:tplc="DAB87F0A">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2C0C1A18">
      <w:numFmt w:val="bullet"/>
      <w:lvlText w:val="•"/>
      <w:lvlJc w:val="left"/>
      <w:pPr>
        <w:ind w:left="1686" w:hanging="360"/>
      </w:pPr>
      <w:rPr>
        <w:rFonts w:hint="default"/>
        <w:lang w:val="en-US" w:eastAsia="en-US" w:bidi="ar-SA"/>
      </w:rPr>
    </w:lvl>
    <w:lvl w:ilvl="2" w:tplc="523EAA8C">
      <w:numFmt w:val="bullet"/>
      <w:lvlText w:val="•"/>
      <w:lvlJc w:val="left"/>
      <w:pPr>
        <w:ind w:left="2533" w:hanging="360"/>
      </w:pPr>
      <w:rPr>
        <w:rFonts w:hint="default"/>
        <w:lang w:val="en-US" w:eastAsia="en-US" w:bidi="ar-SA"/>
      </w:rPr>
    </w:lvl>
    <w:lvl w:ilvl="3" w:tplc="64EAE072">
      <w:numFmt w:val="bullet"/>
      <w:lvlText w:val="•"/>
      <w:lvlJc w:val="left"/>
      <w:pPr>
        <w:ind w:left="3379" w:hanging="360"/>
      </w:pPr>
      <w:rPr>
        <w:rFonts w:hint="default"/>
        <w:lang w:val="en-US" w:eastAsia="en-US" w:bidi="ar-SA"/>
      </w:rPr>
    </w:lvl>
    <w:lvl w:ilvl="4" w:tplc="19A2A924">
      <w:numFmt w:val="bullet"/>
      <w:lvlText w:val="•"/>
      <w:lvlJc w:val="left"/>
      <w:pPr>
        <w:ind w:left="4226" w:hanging="360"/>
      </w:pPr>
      <w:rPr>
        <w:rFonts w:hint="default"/>
        <w:lang w:val="en-US" w:eastAsia="en-US" w:bidi="ar-SA"/>
      </w:rPr>
    </w:lvl>
    <w:lvl w:ilvl="5" w:tplc="34ECAB68">
      <w:numFmt w:val="bullet"/>
      <w:lvlText w:val="•"/>
      <w:lvlJc w:val="left"/>
      <w:pPr>
        <w:ind w:left="5073" w:hanging="360"/>
      </w:pPr>
      <w:rPr>
        <w:rFonts w:hint="default"/>
        <w:lang w:val="en-US" w:eastAsia="en-US" w:bidi="ar-SA"/>
      </w:rPr>
    </w:lvl>
    <w:lvl w:ilvl="6" w:tplc="2EA6F614">
      <w:numFmt w:val="bullet"/>
      <w:lvlText w:val="•"/>
      <w:lvlJc w:val="left"/>
      <w:pPr>
        <w:ind w:left="5919" w:hanging="360"/>
      </w:pPr>
      <w:rPr>
        <w:rFonts w:hint="default"/>
        <w:lang w:val="en-US" w:eastAsia="en-US" w:bidi="ar-SA"/>
      </w:rPr>
    </w:lvl>
    <w:lvl w:ilvl="7" w:tplc="1AEC3434">
      <w:numFmt w:val="bullet"/>
      <w:lvlText w:val="•"/>
      <w:lvlJc w:val="left"/>
      <w:pPr>
        <w:ind w:left="6766" w:hanging="360"/>
      </w:pPr>
      <w:rPr>
        <w:rFonts w:hint="default"/>
        <w:lang w:val="en-US" w:eastAsia="en-US" w:bidi="ar-SA"/>
      </w:rPr>
    </w:lvl>
    <w:lvl w:ilvl="8" w:tplc="2DECFB68">
      <w:numFmt w:val="bullet"/>
      <w:lvlText w:val="•"/>
      <w:lvlJc w:val="left"/>
      <w:pPr>
        <w:ind w:left="7613" w:hanging="360"/>
      </w:pPr>
      <w:rPr>
        <w:rFonts w:hint="default"/>
        <w:lang w:val="en-US" w:eastAsia="en-US" w:bidi="ar-SA"/>
      </w:rPr>
    </w:lvl>
  </w:abstractNum>
  <w:abstractNum w:abstractNumId="13" w15:restartNumberingAfterBreak="0">
    <w:nsid w:val="76D75658"/>
    <w:multiLevelType w:val="hybridMultilevel"/>
    <w:tmpl w:val="76DC4FEE"/>
    <w:lvl w:ilvl="0" w:tplc="041F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8"/>
  </w:num>
  <w:num w:numId="5">
    <w:abstractNumId w:val="0"/>
  </w:num>
  <w:num w:numId="6">
    <w:abstractNumId w:val="11"/>
  </w:num>
  <w:num w:numId="7">
    <w:abstractNumId w:val="6"/>
  </w:num>
  <w:num w:numId="8">
    <w:abstractNumId w:val="1"/>
  </w:num>
  <w:num w:numId="9">
    <w:abstractNumId w:val="2"/>
  </w:num>
  <w:num w:numId="10">
    <w:abstractNumId w:val="12"/>
  </w:num>
  <w:num w:numId="11">
    <w:abstractNumId w:val="13"/>
  </w:num>
  <w:num w:numId="12">
    <w:abstractNumId w:val="5"/>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F0"/>
    <w:rsid w:val="00035899"/>
    <w:rsid w:val="00072C42"/>
    <w:rsid w:val="0009473B"/>
    <w:rsid w:val="000B46E5"/>
    <w:rsid w:val="000C6579"/>
    <w:rsid w:val="000E6436"/>
    <w:rsid w:val="001073F4"/>
    <w:rsid w:val="001304A9"/>
    <w:rsid w:val="00140C01"/>
    <w:rsid w:val="00161F24"/>
    <w:rsid w:val="00166B8D"/>
    <w:rsid w:val="001738D9"/>
    <w:rsid w:val="00181B93"/>
    <w:rsid w:val="00184ADC"/>
    <w:rsid w:val="00186B17"/>
    <w:rsid w:val="001A309F"/>
    <w:rsid w:val="001B32AC"/>
    <w:rsid w:val="001D46EF"/>
    <w:rsid w:val="001E0A28"/>
    <w:rsid w:val="002546B1"/>
    <w:rsid w:val="002606DA"/>
    <w:rsid w:val="00261A7C"/>
    <w:rsid w:val="00265101"/>
    <w:rsid w:val="002E508F"/>
    <w:rsid w:val="002F53A7"/>
    <w:rsid w:val="002F58A5"/>
    <w:rsid w:val="00360BD3"/>
    <w:rsid w:val="00396E7C"/>
    <w:rsid w:val="003D3D0E"/>
    <w:rsid w:val="003D4558"/>
    <w:rsid w:val="003F0B88"/>
    <w:rsid w:val="004079CC"/>
    <w:rsid w:val="00445B96"/>
    <w:rsid w:val="004655CE"/>
    <w:rsid w:val="00480B9A"/>
    <w:rsid w:val="004836CE"/>
    <w:rsid w:val="00487C9B"/>
    <w:rsid w:val="004C5343"/>
    <w:rsid w:val="004E56E9"/>
    <w:rsid w:val="005718E3"/>
    <w:rsid w:val="005A069F"/>
    <w:rsid w:val="005A790C"/>
    <w:rsid w:val="005D00CD"/>
    <w:rsid w:val="005D784E"/>
    <w:rsid w:val="005E0AC3"/>
    <w:rsid w:val="00615041"/>
    <w:rsid w:val="00637363"/>
    <w:rsid w:val="006911A3"/>
    <w:rsid w:val="006959BF"/>
    <w:rsid w:val="006B7372"/>
    <w:rsid w:val="006E0039"/>
    <w:rsid w:val="00742875"/>
    <w:rsid w:val="00757EA8"/>
    <w:rsid w:val="00776758"/>
    <w:rsid w:val="007B74D2"/>
    <w:rsid w:val="007C7130"/>
    <w:rsid w:val="007F6576"/>
    <w:rsid w:val="0081315F"/>
    <w:rsid w:val="008329EB"/>
    <w:rsid w:val="00841476"/>
    <w:rsid w:val="008914CA"/>
    <w:rsid w:val="008915D1"/>
    <w:rsid w:val="008A7042"/>
    <w:rsid w:val="008E6508"/>
    <w:rsid w:val="00961730"/>
    <w:rsid w:val="009C0336"/>
    <w:rsid w:val="009D6837"/>
    <w:rsid w:val="009F23CE"/>
    <w:rsid w:val="00A07778"/>
    <w:rsid w:val="00A25B8C"/>
    <w:rsid w:val="00A62D24"/>
    <w:rsid w:val="00A73242"/>
    <w:rsid w:val="00A73458"/>
    <w:rsid w:val="00AF29B4"/>
    <w:rsid w:val="00B3517E"/>
    <w:rsid w:val="00B671B8"/>
    <w:rsid w:val="00B83E2B"/>
    <w:rsid w:val="00B87397"/>
    <w:rsid w:val="00B87CE4"/>
    <w:rsid w:val="00BB2B73"/>
    <w:rsid w:val="00BC27C6"/>
    <w:rsid w:val="00BC51F4"/>
    <w:rsid w:val="00BF2996"/>
    <w:rsid w:val="00C12D96"/>
    <w:rsid w:val="00C215AE"/>
    <w:rsid w:val="00C408A8"/>
    <w:rsid w:val="00C44C50"/>
    <w:rsid w:val="00C51605"/>
    <w:rsid w:val="00C51612"/>
    <w:rsid w:val="00C86A31"/>
    <w:rsid w:val="00CC3E67"/>
    <w:rsid w:val="00CE24AE"/>
    <w:rsid w:val="00CE70A6"/>
    <w:rsid w:val="00D16778"/>
    <w:rsid w:val="00D3568C"/>
    <w:rsid w:val="00D448D0"/>
    <w:rsid w:val="00D70B43"/>
    <w:rsid w:val="00DD266E"/>
    <w:rsid w:val="00DE1AF0"/>
    <w:rsid w:val="00E0192B"/>
    <w:rsid w:val="00E02D6E"/>
    <w:rsid w:val="00E57C48"/>
    <w:rsid w:val="00E61970"/>
    <w:rsid w:val="00E87DB2"/>
    <w:rsid w:val="00ED0875"/>
    <w:rsid w:val="00EF4871"/>
    <w:rsid w:val="00F0023F"/>
    <w:rsid w:val="00F30161"/>
    <w:rsid w:val="00F41545"/>
    <w:rsid w:val="00F6376B"/>
    <w:rsid w:val="00F700C4"/>
    <w:rsid w:val="00FA421E"/>
    <w:rsid w:val="00FA79E6"/>
    <w:rsid w:val="00FC4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A987"/>
  <w15:docId w15:val="{3CFF94F9-735D-4F07-8FB7-6DC8DC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116"/>
      <w:outlineLvl w:val="0"/>
    </w:pPr>
    <w:rPr>
      <w:b/>
      <w:bCs/>
      <w:sz w:val="24"/>
      <w:szCs w:val="24"/>
    </w:rPr>
  </w:style>
  <w:style w:type="paragraph" w:styleId="Balk2">
    <w:name w:val="heading 2"/>
    <w:basedOn w:val="Normal"/>
    <w:uiPriority w:val="1"/>
    <w:qFormat/>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eParagrafChar"/>
    <w:uiPriority w:val="34"/>
    <w:qFormat/>
    <w:pPr>
      <w:ind w:left="682" w:hanging="284"/>
    </w:pPr>
  </w:style>
  <w:style w:type="paragraph" w:customStyle="1" w:styleId="TableParagraph">
    <w:name w:val="Table Paragraph"/>
    <w:basedOn w:val="Normal"/>
    <w:uiPriority w:val="1"/>
    <w:qFormat/>
  </w:style>
  <w:style w:type="paragraph" w:customStyle="1" w:styleId="Default">
    <w:name w:val="Default"/>
    <w:rsid w:val="00F30161"/>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A07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Numbered List Paragraph Char,References Char,Numbered Paragraph Char,Main numbered paragraph Char,Colorful List - Accent 11 Char,List_Paragraph Char,Multilevel para_II Char,List Paragraph1 Char,Akapit z listą BS Char,Bullet1 Char"/>
    <w:basedOn w:val="VarsaylanParagrafYazTipi"/>
    <w:link w:val="ListeParagraf"/>
    <w:uiPriority w:val="34"/>
    <w:qFormat/>
    <w:rsid w:val="00A07778"/>
    <w:rPr>
      <w:rFonts w:ascii="Times New Roman" w:eastAsia="Times New Roman" w:hAnsi="Times New Roman" w:cs="Times New Roman"/>
    </w:rPr>
  </w:style>
  <w:style w:type="paragraph" w:styleId="DipnotMetni">
    <w:name w:val="footnote text"/>
    <w:basedOn w:val="Normal"/>
    <w:link w:val="DipnotMetniChar"/>
    <w:uiPriority w:val="99"/>
    <w:semiHidden/>
    <w:unhideWhenUsed/>
    <w:rsid w:val="00A07778"/>
    <w:rPr>
      <w:sz w:val="20"/>
      <w:szCs w:val="20"/>
    </w:rPr>
  </w:style>
  <w:style w:type="character" w:customStyle="1" w:styleId="DipnotMetniChar">
    <w:name w:val="Dipnot Metni Char"/>
    <w:basedOn w:val="VarsaylanParagrafYazTipi"/>
    <w:link w:val="DipnotMetni"/>
    <w:uiPriority w:val="99"/>
    <w:semiHidden/>
    <w:rsid w:val="00A07778"/>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A07778"/>
    <w:rPr>
      <w:vertAlign w:val="superscript"/>
    </w:rPr>
  </w:style>
  <w:style w:type="character" w:styleId="AklamaBavurusu">
    <w:name w:val="annotation reference"/>
    <w:basedOn w:val="VarsaylanParagrafYazTipi"/>
    <w:uiPriority w:val="99"/>
    <w:semiHidden/>
    <w:unhideWhenUsed/>
    <w:rsid w:val="001E0A28"/>
    <w:rPr>
      <w:sz w:val="16"/>
      <w:szCs w:val="16"/>
    </w:rPr>
  </w:style>
  <w:style w:type="paragraph" w:styleId="AklamaMetni">
    <w:name w:val="annotation text"/>
    <w:basedOn w:val="Normal"/>
    <w:link w:val="AklamaMetniChar"/>
    <w:uiPriority w:val="99"/>
    <w:unhideWhenUsed/>
    <w:rsid w:val="001E0A28"/>
    <w:rPr>
      <w:sz w:val="20"/>
      <w:szCs w:val="20"/>
    </w:rPr>
  </w:style>
  <w:style w:type="character" w:customStyle="1" w:styleId="AklamaMetniChar">
    <w:name w:val="Açıklama Metni Char"/>
    <w:basedOn w:val="VarsaylanParagrafYazTipi"/>
    <w:link w:val="AklamaMetni"/>
    <w:uiPriority w:val="99"/>
    <w:rsid w:val="001E0A28"/>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1E0A28"/>
    <w:rPr>
      <w:b/>
      <w:bCs/>
    </w:rPr>
  </w:style>
  <w:style w:type="character" w:customStyle="1" w:styleId="AklamaKonusuChar">
    <w:name w:val="Açıklama Konusu Char"/>
    <w:basedOn w:val="AklamaMetniChar"/>
    <w:link w:val="AklamaKonusu"/>
    <w:uiPriority w:val="99"/>
    <w:semiHidden/>
    <w:rsid w:val="001E0A28"/>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1E0A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0A28"/>
    <w:rPr>
      <w:rFonts w:ascii="Segoe UI" w:eastAsia="Times New Roman" w:hAnsi="Segoe UI" w:cs="Segoe UI"/>
      <w:sz w:val="18"/>
      <w:szCs w:val="18"/>
    </w:rPr>
  </w:style>
  <w:style w:type="paragraph" w:styleId="AltBilgi">
    <w:name w:val="footer"/>
    <w:basedOn w:val="Normal"/>
    <w:link w:val="AltBilgiChar"/>
    <w:uiPriority w:val="99"/>
    <w:unhideWhenUsed/>
    <w:rsid w:val="0081315F"/>
    <w:pPr>
      <w:tabs>
        <w:tab w:val="center" w:pos="4680"/>
        <w:tab w:val="right" w:pos="9360"/>
      </w:tabs>
    </w:pPr>
  </w:style>
  <w:style w:type="character" w:customStyle="1" w:styleId="AltBilgiChar">
    <w:name w:val="Alt Bilgi Char"/>
    <w:basedOn w:val="VarsaylanParagrafYazTipi"/>
    <w:link w:val="AltBilgi"/>
    <w:uiPriority w:val="99"/>
    <w:rsid w:val="0081315F"/>
    <w:rPr>
      <w:rFonts w:ascii="Times New Roman" w:eastAsia="Times New Roman" w:hAnsi="Times New Roman" w:cs="Times New Roman"/>
    </w:rPr>
  </w:style>
  <w:style w:type="paragraph" w:styleId="Dzeltme">
    <w:name w:val="Revision"/>
    <w:hidden/>
    <w:uiPriority w:val="99"/>
    <w:semiHidden/>
    <w:rsid w:val="0081315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1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2F89E-9AF5-4735-997B-4F4C6C02D0C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AEEBCAE9-6548-4E92-A4FE-B70106460463}">
  <ds:schemaRefs>
    <ds:schemaRef ds:uri="http://schemas.microsoft.com/sharepoint/v3/contenttype/forms"/>
  </ds:schemaRefs>
</ds:datastoreItem>
</file>

<file path=customXml/itemProps3.xml><?xml version="1.0" encoding="utf-8"?>
<ds:datastoreItem xmlns:ds="http://schemas.openxmlformats.org/officeDocument/2006/customXml" ds:itemID="{44E973A8-ECCF-4B4A-89E7-4BE4E45CA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FB570-6D06-4EA1-A5CA-30BB60CF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1846</Words>
  <Characters>10525</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duygu.saracoglu</dc:creator>
  <cp:lastModifiedBy>Furkan Ünsal</cp:lastModifiedBy>
  <cp:revision>5</cp:revision>
  <dcterms:created xsi:type="dcterms:W3CDTF">2026-03-18T06:27:00Z</dcterms:created>
  <dcterms:modified xsi:type="dcterms:W3CDTF">2026-03-18T10:37:00Z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2023-09-27T00:00:00Z</vt:filetime>
  </property>
  <property fmtid="{D5CDD505-2E9C-101B-9397-08002B2CF9AE}" pid="5" name="Producer">
    <vt:lpwstr>Microsoft® Word 2016</vt:lpwstr>
  </property>
  <property fmtid="{D5CDD505-2E9C-101B-9397-08002B2CF9AE}" pid="6" name="ContentTypeId">
    <vt:lpwstr>0x01010022D807DA5079DD4F8FC962D9402EEFD8</vt:lpwstr>
  </property>
  <property fmtid="{D5CDD505-2E9C-101B-9397-08002B2CF9AE}" pid="7" name="ClassificationContentMarkingFooterShapeIds">
    <vt:lpwstr>525b3489,7eb689b3,3c74c740</vt:lpwstr>
  </property>
  <property fmtid="{D5CDD505-2E9C-101B-9397-08002B2CF9AE}" pid="8" name="ClassificationContentMarkingFooterFontProps">
    <vt:lpwstr>#000000,10,Aptos</vt:lpwstr>
  </property>
  <property fmtid="{D5CDD505-2E9C-101B-9397-08002B2CF9AE}" pid="9" name="ClassificationContentMarkingFooterText">
    <vt:lpwstr>Official Use Only</vt:lpwstr>
  </property>
  <property fmtid="{D5CDD505-2E9C-101B-9397-08002B2CF9AE}" pid="10" name="MSIP_Label_f1bf45b6-5649-4236-82a3-f45024cd282e_Enabled">
    <vt:lpwstr>true</vt:lpwstr>
  </property>
  <property fmtid="{D5CDD505-2E9C-101B-9397-08002B2CF9AE}" pid="11" name="MSIP_Label_f1bf45b6-5649-4236-82a3-f45024cd282e_SetDate">
    <vt:lpwstr>2026-03-18T06:25:49Z</vt:lpwstr>
  </property>
  <property fmtid="{D5CDD505-2E9C-101B-9397-08002B2CF9AE}" pid="12" name="MSIP_Label_f1bf45b6-5649-4236-82a3-f45024cd282e_Method">
    <vt:lpwstr>Standard</vt:lpwstr>
  </property>
  <property fmtid="{D5CDD505-2E9C-101B-9397-08002B2CF9AE}" pid="13" name="MSIP_Label_f1bf45b6-5649-4236-82a3-f45024cd282e_Name">
    <vt:lpwstr>Official Use Only</vt:lpwstr>
  </property>
  <property fmtid="{D5CDD505-2E9C-101B-9397-08002B2CF9AE}" pid="14" name="MSIP_Label_f1bf45b6-5649-4236-82a3-f45024cd282e_SiteId">
    <vt:lpwstr>31a2fec0-266b-4c67-b56e-2796d8f59c36</vt:lpwstr>
  </property>
  <property fmtid="{D5CDD505-2E9C-101B-9397-08002B2CF9AE}" pid="15" name="MSIP_Label_f1bf45b6-5649-4236-82a3-f45024cd282e_ActionId">
    <vt:lpwstr>456b3e06-d0ca-4fe6-9e0b-cf102d8be556</vt:lpwstr>
  </property>
  <property fmtid="{D5CDD505-2E9C-101B-9397-08002B2CF9AE}" pid="16" name="MSIP_Label_f1bf45b6-5649-4236-82a3-f45024cd282e_ContentBits">
    <vt:lpwstr>2</vt:lpwstr>
  </property>
  <property fmtid="{D5CDD505-2E9C-101B-9397-08002B2CF9AE}" pid="17" name="MSIP_Label_f1bf45b6-5649-4236-82a3-f45024cd282e_Tag">
    <vt:lpwstr>10, 3, 0, 1</vt:lpwstr>
  </property>
</Properties>
</file>