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53" w:rsidRDefault="00EC0553" w:rsidP="00EC0553">
      <w:pPr>
        <w:shd w:val="clear" w:color="auto" w:fill="FFFFFF"/>
        <w:spacing w:after="0" w:line="240" w:lineRule="auto"/>
        <w:jc w:val="both"/>
        <w:textAlignment w:val="baseline"/>
        <w:rPr>
          <w:rFonts w:ascii="inherit" w:eastAsia="Times New Roman" w:hAnsi="inherit" w:cs="Arial"/>
          <w:color w:val="333333"/>
          <w:sz w:val="21"/>
          <w:szCs w:val="21"/>
          <w:bdr w:val="none" w:sz="0" w:space="0" w:color="auto" w:frame="1"/>
          <w:lang w:eastAsia="tr-TR"/>
        </w:rPr>
      </w:pPr>
    </w:p>
    <w:p w:rsidR="002B2E2A" w:rsidRPr="00F10A03" w:rsidRDefault="002B2E2A" w:rsidP="007D2CF5">
      <w:pPr>
        <w:shd w:val="clear" w:color="auto" w:fill="FFFFFF"/>
        <w:spacing w:after="0" w:line="240" w:lineRule="auto"/>
        <w:jc w:val="center"/>
        <w:textAlignment w:val="baseline"/>
        <w:rPr>
          <w:rFonts w:ascii="Times New Roman" w:hAnsi="Times New Roman" w:cs="Times New Roman"/>
          <w:b/>
          <w:color w:val="333333"/>
          <w:szCs w:val="24"/>
          <w:shd w:val="clear" w:color="auto" w:fill="FFFFFF"/>
        </w:rPr>
      </w:pPr>
      <w:r w:rsidRPr="00F10A03">
        <w:rPr>
          <w:rFonts w:ascii="Times New Roman" w:hAnsi="Times New Roman" w:cs="Times New Roman"/>
          <w:b/>
          <w:color w:val="333333"/>
          <w:szCs w:val="24"/>
          <w:shd w:val="clear" w:color="auto" w:fill="FFFFFF"/>
        </w:rPr>
        <w:t>TEYDEB Destek Programlarında De</w:t>
      </w:r>
      <w:r w:rsidR="00DA5D11">
        <w:rPr>
          <w:rFonts w:ascii="Times New Roman" w:hAnsi="Times New Roman" w:cs="Times New Roman"/>
          <w:b/>
          <w:color w:val="333333"/>
          <w:szCs w:val="24"/>
          <w:shd w:val="clear" w:color="auto" w:fill="FFFFFF"/>
        </w:rPr>
        <w:t>ğişiklik Yapıldı</w:t>
      </w:r>
    </w:p>
    <w:p w:rsidR="002B2E2A" w:rsidRPr="00F10A03" w:rsidRDefault="002B2E2A" w:rsidP="00EC0553">
      <w:pPr>
        <w:shd w:val="clear" w:color="auto" w:fill="FFFFFF"/>
        <w:spacing w:after="0" w:line="240" w:lineRule="auto"/>
        <w:jc w:val="both"/>
        <w:textAlignment w:val="baseline"/>
        <w:rPr>
          <w:rFonts w:ascii="Times New Roman" w:hAnsi="Times New Roman" w:cs="Times New Roman"/>
          <w:color w:val="333333"/>
          <w:szCs w:val="24"/>
          <w:shd w:val="clear" w:color="auto" w:fill="FFFFFF"/>
        </w:rPr>
      </w:pPr>
    </w:p>
    <w:p w:rsidR="00DA5D11" w:rsidRDefault="002B2E2A" w:rsidP="00EC0553">
      <w:pPr>
        <w:shd w:val="clear" w:color="auto" w:fill="FFFFFF"/>
        <w:spacing w:after="0" w:line="240" w:lineRule="auto"/>
        <w:jc w:val="both"/>
        <w:textAlignment w:val="baseline"/>
        <w:rPr>
          <w:rFonts w:ascii="Times New Roman" w:hAnsi="Times New Roman" w:cs="Times New Roman"/>
          <w:color w:val="333333"/>
          <w:szCs w:val="24"/>
          <w:shd w:val="clear" w:color="auto" w:fill="FFFFFF"/>
        </w:rPr>
      </w:pPr>
      <w:r w:rsidRPr="00F10A03">
        <w:rPr>
          <w:rFonts w:ascii="Times New Roman" w:hAnsi="Times New Roman" w:cs="Times New Roman"/>
          <w:color w:val="333333"/>
          <w:szCs w:val="24"/>
          <w:shd w:val="clear" w:color="auto" w:fill="FFFFFF"/>
        </w:rPr>
        <w:t xml:space="preserve">TÜBİTAK Teknoloji ve Yenilik Destek Programları Başkanlığı (TEYDEB) tarafından yürütülen destek programları </w:t>
      </w:r>
      <w:r w:rsidR="00DA5D11">
        <w:rPr>
          <w:rFonts w:ascii="Times New Roman" w:hAnsi="Times New Roman" w:cs="Times New Roman"/>
          <w:color w:val="333333"/>
          <w:szCs w:val="24"/>
          <w:shd w:val="clear" w:color="auto" w:fill="FFFFFF"/>
        </w:rPr>
        <w:t>uygulama esaslarında değişiklik yapılmıştır. Yapılan değişiklikler</w:t>
      </w:r>
      <w:r w:rsidR="00A87569">
        <w:rPr>
          <w:rFonts w:ascii="Times New Roman" w:hAnsi="Times New Roman" w:cs="Times New Roman"/>
          <w:color w:val="333333"/>
          <w:szCs w:val="24"/>
          <w:shd w:val="clear" w:color="auto" w:fill="FFFFFF"/>
        </w:rPr>
        <w:t>e ilişkin öne çıkan husus</w:t>
      </w:r>
      <w:r w:rsidR="00DA5D11">
        <w:rPr>
          <w:rFonts w:ascii="Times New Roman" w:hAnsi="Times New Roman" w:cs="Times New Roman"/>
          <w:color w:val="333333"/>
          <w:szCs w:val="24"/>
          <w:shd w:val="clear" w:color="auto" w:fill="FFFFFF"/>
        </w:rPr>
        <w:t>lar aşağıda başlıklar halinde belirtilmiştir.</w:t>
      </w:r>
    </w:p>
    <w:p w:rsidR="00DA5D11" w:rsidRDefault="00DA5D11" w:rsidP="00DA5D11">
      <w:pPr>
        <w:ind w:firstLine="567"/>
        <w:jc w:val="both"/>
        <w:rPr>
          <w:rFonts w:ascii="Times New Roman" w:hAnsi="Times New Roman"/>
          <w:spacing w:val="-2"/>
          <w:szCs w:val="24"/>
        </w:rPr>
      </w:pPr>
    </w:p>
    <w:p w:rsidR="00951AE7" w:rsidRDefault="00D031EC" w:rsidP="00951AE7">
      <w:pPr>
        <w:widowControl w:val="0"/>
        <w:autoSpaceDE w:val="0"/>
        <w:autoSpaceDN w:val="0"/>
        <w:adjustRightInd w:val="0"/>
        <w:ind w:firstLine="567"/>
        <w:jc w:val="both"/>
        <w:rPr>
          <w:rFonts w:ascii="Times New Roman" w:hAnsi="Times New Roman"/>
          <w:b/>
          <w:szCs w:val="24"/>
        </w:rPr>
      </w:pPr>
      <w:r>
        <w:rPr>
          <w:rFonts w:ascii="Times New Roman" w:hAnsi="Times New Roman"/>
          <w:b/>
          <w:szCs w:val="24"/>
        </w:rPr>
        <w:t>1</w:t>
      </w:r>
      <w:r w:rsidR="00951AE7">
        <w:rPr>
          <w:rFonts w:ascii="Times New Roman" w:hAnsi="Times New Roman"/>
          <w:b/>
          <w:szCs w:val="24"/>
        </w:rPr>
        <w:t>) Ödemelerin bankadan yapılması</w:t>
      </w:r>
    </w:p>
    <w:p w:rsidR="00951AE7" w:rsidRDefault="00DA5D11" w:rsidP="00951AE7">
      <w:pPr>
        <w:spacing w:before="4"/>
        <w:ind w:firstLine="567"/>
        <w:jc w:val="both"/>
        <w:rPr>
          <w:rFonts w:ascii="Times New Roman" w:hAnsi="Times New Roman"/>
          <w:spacing w:val="1"/>
          <w:szCs w:val="24"/>
        </w:rPr>
      </w:pPr>
      <w:r>
        <w:rPr>
          <w:rFonts w:ascii="Times New Roman" w:hAnsi="Times New Roman"/>
          <w:szCs w:val="24"/>
        </w:rPr>
        <w:t>Tutar</w:t>
      </w:r>
      <w:r w:rsidR="00951AE7">
        <w:rPr>
          <w:rFonts w:ascii="Times New Roman" w:hAnsi="Times New Roman"/>
          <w:szCs w:val="24"/>
        </w:rPr>
        <w:t>ı ne olursa olsun tüm ödemeler</w:t>
      </w:r>
      <w:r>
        <w:rPr>
          <w:rFonts w:ascii="Times New Roman" w:hAnsi="Times New Roman"/>
          <w:szCs w:val="24"/>
        </w:rPr>
        <w:t xml:space="preserve"> bankadan (5411 sayılı Bankacılık Kanunu kapsamındaki bankalar, 6493 sayılı Ödeme ve Menkul Kıymet Mutabakat Sistemleri, Ödeme Hizmetleri ve Elektronik Para Kuruluşları Hakkında Kanun kapsamında yetkilendirilmiş ödeme kuruluşları,  Posta ve Telgraf Teşkilatı Anonim Şirketi) yapıl</w:t>
      </w:r>
      <w:r w:rsidR="00951AE7">
        <w:rPr>
          <w:rFonts w:ascii="Times New Roman" w:hAnsi="Times New Roman"/>
          <w:szCs w:val="24"/>
        </w:rPr>
        <w:t xml:space="preserve">acaktır. </w:t>
      </w:r>
      <w:r>
        <w:rPr>
          <w:rFonts w:ascii="Times New Roman" w:hAnsi="Times New Roman"/>
          <w:szCs w:val="24"/>
        </w:rPr>
        <w:t>Şirket kredi kartı ile yapılan harcama ve giderler de banka aracılığı ile yapıl</w:t>
      </w:r>
      <w:r w:rsidR="00951AE7">
        <w:rPr>
          <w:rFonts w:ascii="Times New Roman" w:hAnsi="Times New Roman"/>
          <w:szCs w:val="24"/>
        </w:rPr>
        <w:t xml:space="preserve">mış ödeme olarak kabul edilecektir. </w:t>
      </w:r>
      <w:r w:rsidR="00951AE7">
        <w:rPr>
          <w:rFonts w:ascii="Times New Roman" w:hAnsi="Times New Roman"/>
          <w:spacing w:val="1"/>
          <w:szCs w:val="24"/>
        </w:rPr>
        <w:t xml:space="preserve"> Kasadan yapılan ödemeler ve banka aracılığı ile yapılmayan ödemeler desteklenmeyecektir.</w:t>
      </w:r>
    </w:p>
    <w:p w:rsidR="00DA5D11" w:rsidRDefault="00951AE7" w:rsidP="00DA5D11">
      <w:pPr>
        <w:ind w:firstLine="567"/>
        <w:jc w:val="both"/>
        <w:rPr>
          <w:rFonts w:ascii="Times New Roman" w:hAnsi="Times New Roman"/>
          <w:szCs w:val="24"/>
        </w:rPr>
      </w:pPr>
      <w:r>
        <w:rPr>
          <w:rFonts w:ascii="Times New Roman" w:hAnsi="Times New Roman"/>
          <w:szCs w:val="24"/>
        </w:rPr>
        <w:t>(Tüm destek programları için geçerlidir)</w:t>
      </w:r>
    </w:p>
    <w:p w:rsidR="00951AE7" w:rsidRDefault="00951AE7" w:rsidP="00DA5D11">
      <w:pPr>
        <w:ind w:firstLine="567"/>
        <w:jc w:val="both"/>
        <w:rPr>
          <w:rFonts w:ascii="Times New Roman" w:hAnsi="Times New Roman"/>
          <w:b/>
          <w:szCs w:val="24"/>
        </w:rPr>
      </w:pPr>
    </w:p>
    <w:p w:rsidR="00951AE7" w:rsidRDefault="00D031EC" w:rsidP="00951AE7">
      <w:pPr>
        <w:widowControl w:val="0"/>
        <w:autoSpaceDE w:val="0"/>
        <w:autoSpaceDN w:val="0"/>
        <w:adjustRightInd w:val="0"/>
        <w:ind w:firstLine="567"/>
        <w:jc w:val="both"/>
        <w:rPr>
          <w:rFonts w:ascii="Times New Roman" w:hAnsi="Times New Roman"/>
          <w:b/>
          <w:szCs w:val="24"/>
        </w:rPr>
      </w:pPr>
      <w:r>
        <w:rPr>
          <w:rFonts w:ascii="Times New Roman" w:hAnsi="Times New Roman"/>
          <w:b/>
          <w:szCs w:val="24"/>
        </w:rPr>
        <w:t>2</w:t>
      </w:r>
      <w:r w:rsidR="00951AE7">
        <w:rPr>
          <w:rFonts w:ascii="Times New Roman" w:hAnsi="Times New Roman"/>
          <w:b/>
          <w:szCs w:val="24"/>
        </w:rPr>
        <w:t>) Unutulan giderlerin beyanı</w:t>
      </w:r>
    </w:p>
    <w:p w:rsidR="00CA6725" w:rsidRDefault="00951AE7" w:rsidP="00CA6725">
      <w:pPr>
        <w:ind w:firstLine="567"/>
        <w:jc w:val="both"/>
        <w:rPr>
          <w:rFonts w:ascii="Times New Roman" w:hAnsi="Times New Roman"/>
          <w:szCs w:val="24"/>
        </w:rPr>
      </w:pPr>
      <w:r>
        <w:rPr>
          <w:rFonts w:ascii="Times New Roman" w:hAnsi="Times New Roman"/>
          <w:szCs w:val="24"/>
        </w:rPr>
        <w:t>Unutma, ödeme</w:t>
      </w:r>
      <w:r w:rsidR="00E30480">
        <w:rPr>
          <w:rFonts w:ascii="Times New Roman" w:hAnsi="Times New Roman"/>
          <w:szCs w:val="24"/>
        </w:rPr>
        <w:t>nin</w:t>
      </w:r>
      <w:r>
        <w:rPr>
          <w:rFonts w:ascii="Times New Roman" w:hAnsi="Times New Roman"/>
          <w:szCs w:val="24"/>
        </w:rPr>
        <w:t xml:space="preserve"> yapılamaması gibi nedenlerle p</w:t>
      </w:r>
      <w:r w:rsidR="00DA5D11">
        <w:rPr>
          <w:rFonts w:ascii="Times New Roman" w:hAnsi="Times New Roman"/>
          <w:szCs w:val="24"/>
        </w:rPr>
        <w:t xml:space="preserve">rojenin son dönem </w:t>
      </w:r>
      <w:r>
        <w:rPr>
          <w:rFonts w:ascii="Times New Roman" w:hAnsi="Times New Roman"/>
          <w:szCs w:val="24"/>
        </w:rPr>
        <w:t>rapor</w:t>
      </w:r>
      <w:r w:rsidR="00E30480">
        <w:rPr>
          <w:rFonts w:ascii="Times New Roman" w:hAnsi="Times New Roman"/>
          <w:szCs w:val="24"/>
        </w:rPr>
        <w:t>unda</w:t>
      </w:r>
      <w:r>
        <w:rPr>
          <w:rFonts w:ascii="Times New Roman" w:hAnsi="Times New Roman"/>
          <w:szCs w:val="24"/>
        </w:rPr>
        <w:t xml:space="preserve"> </w:t>
      </w:r>
      <w:r w:rsidR="00DA5D11">
        <w:rPr>
          <w:rFonts w:ascii="Times New Roman" w:hAnsi="Times New Roman"/>
          <w:szCs w:val="24"/>
        </w:rPr>
        <w:t>beyan edilmeyen harcama ve giderler</w:t>
      </w:r>
      <w:r>
        <w:rPr>
          <w:rFonts w:ascii="Times New Roman" w:hAnsi="Times New Roman"/>
          <w:szCs w:val="24"/>
        </w:rPr>
        <w:t xml:space="preserve"> için ek beyan hakkı getirilmiştir. Bu tür harcama ve giderler,</w:t>
      </w:r>
      <w:r w:rsidR="00DA5D11">
        <w:rPr>
          <w:rFonts w:ascii="Times New Roman" w:hAnsi="Times New Roman"/>
          <w:szCs w:val="24"/>
        </w:rPr>
        <w:t xml:space="preserve"> son dönem </w:t>
      </w:r>
      <w:r>
        <w:rPr>
          <w:rFonts w:ascii="Times New Roman" w:hAnsi="Times New Roman"/>
          <w:szCs w:val="24"/>
        </w:rPr>
        <w:t>rapor</w:t>
      </w:r>
      <w:r w:rsidR="00E30480">
        <w:rPr>
          <w:rFonts w:ascii="Times New Roman" w:hAnsi="Times New Roman"/>
          <w:szCs w:val="24"/>
        </w:rPr>
        <w:t>unun</w:t>
      </w:r>
      <w:r>
        <w:rPr>
          <w:rFonts w:ascii="Times New Roman" w:hAnsi="Times New Roman"/>
          <w:szCs w:val="24"/>
        </w:rPr>
        <w:t xml:space="preserve"> </w:t>
      </w:r>
      <w:r w:rsidR="00DA5D11">
        <w:rPr>
          <w:rFonts w:ascii="Times New Roman" w:hAnsi="Times New Roman"/>
          <w:szCs w:val="24"/>
        </w:rPr>
        <w:t xml:space="preserve">son gönderim tarihini takip eden üçüncü ayın sonuna kadar </w:t>
      </w:r>
      <w:r w:rsidR="00CA6725">
        <w:rPr>
          <w:rFonts w:ascii="Times New Roman" w:hAnsi="Times New Roman"/>
          <w:szCs w:val="24"/>
        </w:rPr>
        <w:t xml:space="preserve">Mali Müşavir Raporu ve Gider Formları ile </w:t>
      </w:r>
      <w:r w:rsidR="00DA5D11">
        <w:rPr>
          <w:rFonts w:ascii="Times New Roman" w:hAnsi="Times New Roman"/>
          <w:szCs w:val="24"/>
        </w:rPr>
        <w:t xml:space="preserve">TÜBİTAK’a </w:t>
      </w:r>
      <w:r w:rsidR="00283407">
        <w:rPr>
          <w:rFonts w:ascii="Times New Roman" w:hAnsi="Times New Roman"/>
          <w:szCs w:val="24"/>
        </w:rPr>
        <w:t xml:space="preserve">tek seferde </w:t>
      </w:r>
      <w:r w:rsidR="00DA5D11">
        <w:rPr>
          <w:rFonts w:ascii="Times New Roman" w:hAnsi="Times New Roman"/>
          <w:szCs w:val="24"/>
        </w:rPr>
        <w:t>sunul</w:t>
      </w:r>
      <w:r>
        <w:rPr>
          <w:rFonts w:ascii="Times New Roman" w:hAnsi="Times New Roman"/>
          <w:szCs w:val="24"/>
        </w:rPr>
        <w:t xml:space="preserve">abilecektir. </w:t>
      </w:r>
      <w:r w:rsidR="00CA6725">
        <w:rPr>
          <w:rFonts w:ascii="Times New Roman" w:hAnsi="Times New Roman"/>
          <w:szCs w:val="24"/>
        </w:rPr>
        <w:t>Bu kapsamda</w:t>
      </w:r>
      <w:r w:rsidR="00E30480">
        <w:rPr>
          <w:rFonts w:ascii="Times New Roman" w:hAnsi="Times New Roman"/>
          <w:szCs w:val="24"/>
        </w:rPr>
        <w:t>,</w:t>
      </w:r>
      <w:r w:rsidR="00CA6725">
        <w:rPr>
          <w:rFonts w:ascii="Times New Roman" w:hAnsi="Times New Roman"/>
          <w:szCs w:val="24"/>
        </w:rPr>
        <w:t xml:space="preserve"> harcama ve giderlerin sunulması sonrası gider artırımına yönelik </w:t>
      </w:r>
      <w:proofErr w:type="gramStart"/>
      <w:r w:rsidR="00CA6725">
        <w:rPr>
          <w:rFonts w:ascii="Times New Roman" w:hAnsi="Times New Roman"/>
          <w:szCs w:val="24"/>
        </w:rPr>
        <w:t>revizyon</w:t>
      </w:r>
      <w:proofErr w:type="gramEnd"/>
      <w:r w:rsidR="00CA6725">
        <w:rPr>
          <w:rFonts w:ascii="Times New Roman" w:hAnsi="Times New Roman"/>
          <w:szCs w:val="24"/>
        </w:rPr>
        <w:t xml:space="preserve"> açılmayacaktır.</w:t>
      </w:r>
    </w:p>
    <w:p w:rsidR="00CA6725" w:rsidRDefault="00CA6725" w:rsidP="00CA6725">
      <w:pPr>
        <w:ind w:firstLine="567"/>
        <w:jc w:val="both"/>
        <w:rPr>
          <w:rFonts w:ascii="Times New Roman" w:hAnsi="Times New Roman"/>
          <w:szCs w:val="24"/>
        </w:rPr>
      </w:pPr>
      <w:r>
        <w:rPr>
          <w:rFonts w:ascii="Times New Roman" w:hAnsi="Times New Roman"/>
          <w:szCs w:val="24"/>
        </w:rPr>
        <w:t>Projenin il</w:t>
      </w:r>
      <w:r w:rsidR="00E30480">
        <w:rPr>
          <w:rFonts w:ascii="Times New Roman" w:hAnsi="Times New Roman"/>
          <w:szCs w:val="24"/>
        </w:rPr>
        <w:t>k</w:t>
      </w:r>
      <w:r>
        <w:rPr>
          <w:rFonts w:ascii="Times New Roman" w:hAnsi="Times New Roman"/>
          <w:szCs w:val="24"/>
        </w:rPr>
        <w:t xml:space="preserve"> veya ara dönem değerlendirmeleri sonucunda TÜBİTAK tarafından “eksikleri tamamlanarak izleyen dönemlerde tekrar beyan edilmesi”  vb. gerekçelerle kapsam dışı tutulan harcama ve giderler</w:t>
      </w:r>
      <w:r w:rsidR="00D019F6">
        <w:rPr>
          <w:rFonts w:ascii="Times New Roman" w:hAnsi="Times New Roman"/>
          <w:szCs w:val="24"/>
        </w:rPr>
        <w:t xml:space="preserve">in projenin </w:t>
      </w:r>
      <w:r>
        <w:rPr>
          <w:rFonts w:ascii="Times New Roman" w:hAnsi="Times New Roman"/>
          <w:spacing w:val="13"/>
          <w:szCs w:val="24"/>
        </w:rPr>
        <w:t xml:space="preserve">son döneminde de beyan edilmemesi halinde </w:t>
      </w:r>
      <w:r>
        <w:rPr>
          <w:rFonts w:ascii="Times New Roman" w:hAnsi="Times New Roman"/>
          <w:szCs w:val="24"/>
        </w:rPr>
        <w:t xml:space="preserve">bu </w:t>
      </w:r>
      <w:r w:rsidR="00D019F6">
        <w:rPr>
          <w:rFonts w:ascii="Times New Roman" w:hAnsi="Times New Roman"/>
          <w:szCs w:val="24"/>
        </w:rPr>
        <w:t xml:space="preserve">tür harcama ve giderler de </w:t>
      </w:r>
      <w:r w:rsidR="00E30480">
        <w:rPr>
          <w:rFonts w:ascii="Times New Roman" w:hAnsi="Times New Roman"/>
          <w:szCs w:val="24"/>
        </w:rPr>
        <w:t>unutulan gider</w:t>
      </w:r>
      <w:r w:rsidR="00D019F6">
        <w:rPr>
          <w:rFonts w:ascii="Times New Roman" w:hAnsi="Times New Roman"/>
          <w:szCs w:val="24"/>
        </w:rPr>
        <w:t xml:space="preserve"> kapsamında TÜBİTAK’a beyan edilebilecektir. </w:t>
      </w:r>
    </w:p>
    <w:p w:rsidR="00D019F6" w:rsidRDefault="00E30480" w:rsidP="00CA6725">
      <w:pPr>
        <w:ind w:firstLine="567"/>
        <w:jc w:val="both"/>
        <w:rPr>
          <w:rFonts w:ascii="Times New Roman" w:hAnsi="Times New Roman"/>
          <w:szCs w:val="24"/>
        </w:rPr>
      </w:pPr>
      <w:r>
        <w:rPr>
          <w:rFonts w:ascii="Times New Roman" w:hAnsi="Times New Roman"/>
          <w:szCs w:val="24"/>
        </w:rPr>
        <w:t>Unutulan gider</w:t>
      </w:r>
      <w:r w:rsidR="00D019F6">
        <w:rPr>
          <w:rFonts w:ascii="Times New Roman" w:hAnsi="Times New Roman"/>
          <w:szCs w:val="24"/>
        </w:rPr>
        <w:t xml:space="preserve"> olarak beyan edilen harcama ve giderlerden %30 kesinti yapılacaktır.</w:t>
      </w:r>
    </w:p>
    <w:p w:rsidR="00DA5D11" w:rsidRDefault="00283407" w:rsidP="00DA5D11">
      <w:pPr>
        <w:ind w:firstLine="567"/>
        <w:jc w:val="both"/>
        <w:rPr>
          <w:rFonts w:ascii="Times New Roman" w:hAnsi="Times New Roman"/>
          <w:szCs w:val="24"/>
        </w:rPr>
      </w:pPr>
      <w:r>
        <w:rPr>
          <w:rFonts w:ascii="Times New Roman" w:hAnsi="Times New Roman"/>
          <w:szCs w:val="24"/>
        </w:rPr>
        <w:t xml:space="preserve">Rapor son gönderim tarihi olarak uygulama esaslarında belirtilen son gönderim tarihi dikkate alınacaktır. </w:t>
      </w:r>
      <w:r w:rsidR="001F05FE">
        <w:rPr>
          <w:rFonts w:ascii="Times New Roman" w:hAnsi="Times New Roman"/>
          <w:szCs w:val="24"/>
        </w:rPr>
        <w:t>Raporların bu tarihlerden önce gönderilmesi, raporların geç gönderilmesi veya rapor son gönderim tarihlerinin uzatılması bu süreyi değiştirmeyecektir.</w:t>
      </w:r>
    </w:p>
    <w:p w:rsidR="0034350C" w:rsidRDefault="001F05FE" w:rsidP="00DA5D11">
      <w:pPr>
        <w:ind w:firstLine="567"/>
        <w:jc w:val="both"/>
        <w:rPr>
          <w:rFonts w:ascii="Times New Roman" w:hAnsi="Times New Roman"/>
          <w:szCs w:val="24"/>
        </w:rPr>
      </w:pPr>
      <w:r>
        <w:rPr>
          <w:rFonts w:ascii="Times New Roman" w:hAnsi="Times New Roman"/>
          <w:szCs w:val="24"/>
        </w:rPr>
        <w:t>Örnek: Dönemlerin 1 Ocak-30 Haziran ve 1 Temmuz-31 Aralık olduğu programlarda rapor gönderim tarihi</w:t>
      </w:r>
      <w:r w:rsidR="00AA2EBE">
        <w:rPr>
          <w:rFonts w:ascii="Times New Roman" w:hAnsi="Times New Roman"/>
          <w:szCs w:val="24"/>
        </w:rPr>
        <w:t>nin</w:t>
      </w:r>
      <w:r>
        <w:rPr>
          <w:rFonts w:ascii="Times New Roman" w:hAnsi="Times New Roman"/>
          <w:szCs w:val="24"/>
        </w:rPr>
        <w:t xml:space="preserve"> dönemin bitiş tarihinden itibaren 2 </w:t>
      </w:r>
      <w:r w:rsidR="00AA2EBE">
        <w:rPr>
          <w:rFonts w:ascii="Times New Roman" w:hAnsi="Times New Roman"/>
          <w:szCs w:val="24"/>
        </w:rPr>
        <w:t xml:space="preserve">ay </w:t>
      </w:r>
      <w:r>
        <w:rPr>
          <w:rFonts w:ascii="Times New Roman" w:hAnsi="Times New Roman"/>
          <w:szCs w:val="24"/>
        </w:rPr>
        <w:t>olması durumunda</w:t>
      </w:r>
      <w:r w:rsidR="00AA2EBE">
        <w:rPr>
          <w:rFonts w:ascii="Times New Roman" w:hAnsi="Times New Roman"/>
          <w:szCs w:val="24"/>
        </w:rPr>
        <w:t>,</w:t>
      </w:r>
      <w:r>
        <w:rPr>
          <w:rFonts w:ascii="Times New Roman" w:hAnsi="Times New Roman"/>
          <w:szCs w:val="24"/>
        </w:rPr>
        <w:t xml:space="preserve"> unutulan giderler aşağıdaki tabloda belirtilen tarihlere kadar </w:t>
      </w:r>
      <w:r w:rsidR="00CA6725">
        <w:rPr>
          <w:rFonts w:ascii="Times New Roman" w:hAnsi="Times New Roman"/>
          <w:szCs w:val="24"/>
        </w:rPr>
        <w:t>TÜBİTAK’a beyan edilebilecektir.</w:t>
      </w:r>
      <w:r>
        <w:rPr>
          <w:rFonts w:ascii="Times New Roman" w:hAnsi="Times New Roman"/>
          <w:szCs w:val="24"/>
        </w:rPr>
        <w:t xml:space="preserve"> </w:t>
      </w:r>
    </w:p>
    <w:tbl>
      <w:tblPr>
        <w:tblStyle w:val="TabloKlavuzu"/>
        <w:tblW w:w="0" w:type="auto"/>
        <w:jc w:val="center"/>
        <w:tblInd w:w="0" w:type="dxa"/>
        <w:tblLook w:val="04A0" w:firstRow="1" w:lastRow="0" w:firstColumn="1" w:lastColumn="0" w:noHBand="0" w:noVBand="1"/>
      </w:tblPr>
      <w:tblGrid>
        <w:gridCol w:w="4673"/>
        <w:gridCol w:w="2552"/>
      </w:tblGrid>
      <w:tr w:rsidR="00CA6725" w:rsidRPr="000D392F" w:rsidTr="000D392F">
        <w:trPr>
          <w:jc w:val="center"/>
        </w:trPr>
        <w:tc>
          <w:tcPr>
            <w:tcW w:w="4673" w:type="dxa"/>
          </w:tcPr>
          <w:p w:rsidR="00CA6725" w:rsidRPr="000D392F" w:rsidRDefault="00CA6725" w:rsidP="000D392F">
            <w:pPr>
              <w:jc w:val="center"/>
              <w:rPr>
                <w:rFonts w:ascii="Times New Roman" w:hAnsi="Times New Roman"/>
                <w:b/>
                <w:sz w:val="24"/>
                <w:szCs w:val="24"/>
              </w:rPr>
            </w:pPr>
            <w:r w:rsidRPr="000D392F">
              <w:rPr>
                <w:rFonts w:ascii="Times New Roman" w:hAnsi="Times New Roman"/>
                <w:b/>
                <w:sz w:val="24"/>
                <w:szCs w:val="24"/>
              </w:rPr>
              <w:t xml:space="preserve">UYGULAMA ESASLARINA GÖRE </w:t>
            </w:r>
            <w:r w:rsidRPr="00283407">
              <w:rPr>
                <w:rFonts w:ascii="Times New Roman" w:hAnsi="Times New Roman"/>
                <w:b/>
                <w:sz w:val="24"/>
                <w:szCs w:val="24"/>
              </w:rPr>
              <w:t>DÖNEM RAPORU SON GÖNDERİM TARİHİ</w:t>
            </w:r>
          </w:p>
        </w:tc>
        <w:tc>
          <w:tcPr>
            <w:tcW w:w="2552" w:type="dxa"/>
          </w:tcPr>
          <w:p w:rsidR="00CA6725" w:rsidRPr="000D392F" w:rsidRDefault="00CA6725" w:rsidP="000D392F">
            <w:pPr>
              <w:jc w:val="center"/>
              <w:rPr>
                <w:rFonts w:ascii="Times New Roman" w:hAnsi="Times New Roman"/>
                <w:b/>
                <w:sz w:val="24"/>
                <w:szCs w:val="24"/>
              </w:rPr>
            </w:pPr>
            <w:r w:rsidRPr="00283407">
              <w:rPr>
                <w:rFonts w:ascii="Times New Roman" w:hAnsi="Times New Roman"/>
                <w:b/>
                <w:sz w:val="24"/>
                <w:szCs w:val="24"/>
              </w:rPr>
              <w:t>UNUTULAN GİDER SON GÖNERİM TARİHİ</w:t>
            </w:r>
          </w:p>
        </w:tc>
      </w:tr>
      <w:tr w:rsidR="00CA6725" w:rsidTr="000D392F">
        <w:trPr>
          <w:jc w:val="center"/>
        </w:trPr>
        <w:tc>
          <w:tcPr>
            <w:tcW w:w="4673" w:type="dxa"/>
          </w:tcPr>
          <w:p w:rsidR="00CA6725" w:rsidRPr="000D392F" w:rsidRDefault="00CA6725" w:rsidP="009A1A04">
            <w:pPr>
              <w:jc w:val="both"/>
              <w:rPr>
                <w:rFonts w:ascii="Times New Roman" w:hAnsi="Times New Roman"/>
                <w:sz w:val="24"/>
                <w:szCs w:val="24"/>
              </w:rPr>
            </w:pPr>
            <w:r w:rsidRPr="000D392F">
              <w:rPr>
                <w:rFonts w:ascii="Times New Roman" w:hAnsi="Times New Roman"/>
                <w:sz w:val="24"/>
                <w:szCs w:val="24"/>
              </w:rPr>
              <w:t>28 Şubat</w:t>
            </w:r>
          </w:p>
        </w:tc>
        <w:tc>
          <w:tcPr>
            <w:tcW w:w="2552" w:type="dxa"/>
          </w:tcPr>
          <w:p w:rsidR="00CA6725" w:rsidRPr="000D392F" w:rsidRDefault="00CA6725" w:rsidP="009A1A04">
            <w:pPr>
              <w:jc w:val="both"/>
              <w:rPr>
                <w:rFonts w:ascii="Times New Roman" w:hAnsi="Times New Roman"/>
                <w:sz w:val="24"/>
                <w:szCs w:val="24"/>
              </w:rPr>
            </w:pPr>
            <w:r w:rsidRPr="000D392F">
              <w:rPr>
                <w:rFonts w:ascii="Times New Roman" w:hAnsi="Times New Roman"/>
                <w:sz w:val="24"/>
                <w:szCs w:val="24"/>
              </w:rPr>
              <w:t>31 Mayıs</w:t>
            </w:r>
          </w:p>
        </w:tc>
      </w:tr>
      <w:tr w:rsidR="00CA6725" w:rsidTr="000D392F">
        <w:trPr>
          <w:jc w:val="center"/>
        </w:trPr>
        <w:tc>
          <w:tcPr>
            <w:tcW w:w="4673" w:type="dxa"/>
          </w:tcPr>
          <w:p w:rsidR="00CA6725" w:rsidRPr="000D392F" w:rsidRDefault="00CA6725" w:rsidP="009A1A04">
            <w:pPr>
              <w:jc w:val="both"/>
              <w:rPr>
                <w:rFonts w:ascii="Times New Roman" w:hAnsi="Times New Roman"/>
                <w:sz w:val="24"/>
                <w:szCs w:val="24"/>
              </w:rPr>
            </w:pPr>
            <w:r w:rsidRPr="000D392F">
              <w:rPr>
                <w:rFonts w:ascii="Times New Roman" w:hAnsi="Times New Roman"/>
                <w:sz w:val="24"/>
                <w:szCs w:val="24"/>
              </w:rPr>
              <w:t>31 Ağustos</w:t>
            </w:r>
          </w:p>
        </w:tc>
        <w:tc>
          <w:tcPr>
            <w:tcW w:w="2552" w:type="dxa"/>
          </w:tcPr>
          <w:p w:rsidR="00CA6725" w:rsidRPr="000D392F" w:rsidRDefault="00CA6725" w:rsidP="009A1A04">
            <w:pPr>
              <w:jc w:val="both"/>
              <w:rPr>
                <w:rFonts w:ascii="Times New Roman" w:hAnsi="Times New Roman"/>
                <w:sz w:val="24"/>
                <w:szCs w:val="24"/>
              </w:rPr>
            </w:pPr>
            <w:r w:rsidRPr="000D392F">
              <w:rPr>
                <w:rFonts w:ascii="Times New Roman" w:hAnsi="Times New Roman"/>
                <w:sz w:val="24"/>
                <w:szCs w:val="24"/>
              </w:rPr>
              <w:t>30 Kasım</w:t>
            </w:r>
          </w:p>
        </w:tc>
      </w:tr>
    </w:tbl>
    <w:p w:rsidR="00CA6725" w:rsidRDefault="00CA6725" w:rsidP="00DA5D11">
      <w:pPr>
        <w:ind w:firstLine="567"/>
        <w:jc w:val="both"/>
        <w:rPr>
          <w:rFonts w:ascii="Times New Roman" w:hAnsi="Times New Roman"/>
          <w:szCs w:val="24"/>
        </w:rPr>
      </w:pPr>
    </w:p>
    <w:p w:rsidR="0034350C" w:rsidRDefault="0034350C" w:rsidP="00DA5D11">
      <w:pPr>
        <w:ind w:firstLine="567"/>
        <w:jc w:val="both"/>
        <w:rPr>
          <w:rFonts w:ascii="Times New Roman" w:hAnsi="Times New Roman"/>
          <w:bCs/>
          <w:szCs w:val="24"/>
        </w:rPr>
      </w:pPr>
      <w:r>
        <w:rPr>
          <w:rFonts w:ascii="Times New Roman" w:hAnsi="Times New Roman"/>
          <w:bCs/>
          <w:szCs w:val="24"/>
        </w:rPr>
        <w:t xml:space="preserve">-Proje bitiş tarihi 30.11.2026 olan bir projede </w:t>
      </w:r>
      <w:r w:rsidR="00AA2EBE">
        <w:rPr>
          <w:rFonts w:ascii="Times New Roman" w:hAnsi="Times New Roman"/>
          <w:bCs/>
          <w:szCs w:val="24"/>
        </w:rPr>
        <w:t>son dönem raporu</w:t>
      </w:r>
      <w:r>
        <w:rPr>
          <w:rFonts w:ascii="Times New Roman" w:hAnsi="Times New Roman"/>
          <w:bCs/>
          <w:szCs w:val="24"/>
        </w:rPr>
        <w:t xml:space="preserve"> 28 Şubat 2027 tarihine kadar gönderilecektir. Kuruluş son dönem raporunu 12.02.2027 tar</w:t>
      </w:r>
      <w:r w:rsidR="00AA2EBE">
        <w:rPr>
          <w:rFonts w:ascii="Times New Roman" w:hAnsi="Times New Roman"/>
          <w:bCs/>
          <w:szCs w:val="24"/>
        </w:rPr>
        <w:t>ihinde TÜBİTAK’a göndermiştir. Bu durumda, k</w:t>
      </w:r>
      <w:r>
        <w:rPr>
          <w:rFonts w:ascii="Times New Roman" w:hAnsi="Times New Roman"/>
          <w:bCs/>
          <w:szCs w:val="24"/>
        </w:rPr>
        <w:t>uruluş son dönemde beyan e</w:t>
      </w:r>
      <w:r w:rsidR="00AA2EBE">
        <w:rPr>
          <w:rFonts w:ascii="Times New Roman" w:hAnsi="Times New Roman"/>
          <w:bCs/>
          <w:szCs w:val="24"/>
        </w:rPr>
        <w:t>tmediği harcama ve giderleri</w:t>
      </w:r>
      <w:r>
        <w:rPr>
          <w:rFonts w:ascii="Times New Roman" w:hAnsi="Times New Roman"/>
          <w:bCs/>
          <w:szCs w:val="24"/>
        </w:rPr>
        <w:t xml:space="preserve"> en son 31 Mayıs 2027 tarihine kadar beyan edebilecektir. </w:t>
      </w:r>
    </w:p>
    <w:p w:rsidR="0034350C" w:rsidRDefault="0034350C" w:rsidP="00DA5D11">
      <w:pPr>
        <w:ind w:firstLine="567"/>
        <w:jc w:val="both"/>
        <w:rPr>
          <w:rFonts w:ascii="Times New Roman" w:hAnsi="Times New Roman"/>
          <w:bCs/>
          <w:szCs w:val="24"/>
        </w:rPr>
      </w:pPr>
      <w:r>
        <w:rPr>
          <w:rFonts w:ascii="Times New Roman" w:hAnsi="Times New Roman"/>
          <w:bCs/>
          <w:szCs w:val="24"/>
        </w:rPr>
        <w:lastRenderedPageBreak/>
        <w:t xml:space="preserve">-Proje bitiş tarihi 31.12.2027 olan bir projede kuruluş 3 ay süre uzatımı almış olup, proje bitiş tarihi 31.03.2028 olmuştur. Kuruluş son dönem raporunu 31 Ağustos 2028 tarihine kadar gönderebilecektir. TÜBİTAK rapor gönderim süresini 10 Eylül 2028 tarihine kadar uzatmış olup, kuruluş son dönem raporunu 08.09.2028 tarihinde TÜBİTAK’a göndermiştir. </w:t>
      </w:r>
      <w:r w:rsidR="00AA2EBE">
        <w:rPr>
          <w:rFonts w:ascii="Times New Roman" w:hAnsi="Times New Roman"/>
          <w:bCs/>
          <w:szCs w:val="24"/>
        </w:rPr>
        <w:t>Bu durumda k</w:t>
      </w:r>
      <w:r>
        <w:rPr>
          <w:rFonts w:ascii="Times New Roman" w:hAnsi="Times New Roman"/>
          <w:bCs/>
          <w:szCs w:val="24"/>
        </w:rPr>
        <w:t>uruluş son dönemde beyan e</w:t>
      </w:r>
      <w:r w:rsidR="00AA2EBE">
        <w:rPr>
          <w:rFonts w:ascii="Times New Roman" w:hAnsi="Times New Roman"/>
          <w:bCs/>
          <w:szCs w:val="24"/>
        </w:rPr>
        <w:t>tmediği harcama ve giderleri</w:t>
      </w:r>
      <w:r>
        <w:rPr>
          <w:rFonts w:ascii="Times New Roman" w:hAnsi="Times New Roman"/>
          <w:bCs/>
          <w:szCs w:val="24"/>
        </w:rPr>
        <w:t xml:space="preserve"> en son 30 Kasım 2028 tarihine kadar beyan edebilecektir.</w:t>
      </w:r>
    </w:p>
    <w:p w:rsidR="00D019F6" w:rsidRDefault="00D019F6" w:rsidP="00D019F6">
      <w:pPr>
        <w:ind w:firstLine="567"/>
        <w:jc w:val="both"/>
        <w:rPr>
          <w:rFonts w:ascii="Times New Roman" w:hAnsi="Times New Roman"/>
          <w:szCs w:val="24"/>
        </w:rPr>
      </w:pPr>
      <w:r>
        <w:rPr>
          <w:rFonts w:ascii="Times New Roman" w:hAnsi="Times New Roman"/>
          <w:szCs w:val="24"/>
        </w:rPr>
        <w:t>(Değişiklik yapılan uygulama esasları: 1501, 1507, 1509, 1511, 1515, 1801 ve Yönerge)</w:t>
      </w:r>
    </w:p>
    <w:p w:rsidR="008E760D" w:rsidRDefault="00D031EC" w:rsidP="008E760D">
      <w:pPr>
        <w:widowControl w:val="0"/>
        <w:autoSpaceDE w:val="0"/>
        <w:autoSpaceDN w:val="0"/>
        <w:adjustRightInd w:val="0"/>
        <w:ind w:firstLine="567"/>
        <w:jc w:val="both"/>
        <w:rPr>
          <w:rFonts w:ascii="Times New Roman" w:hAnsi="Times New Roman"/>
          <w:b/>
          <w:szCs w:val="24"/>
        </w:rPr>
      </w:pPr>
      <w:r>
        <w:rPr>
          <w:rFonts w:ascii="Times New Roman" w:hAnsi="Times New Roman"/>
          <w:b/>
          <w:szCs w:val="24"/>
        </w:rPr>
        <w:t>3</w:t>
      </w:r>
      <w:r w:rsidR="008E760D">
        <w:rPr>
          <w:rFonts w:ascii="Times New Roman" w:hAnsi="Times New Roman"/>
          <w:b/>
          <w:szCs w:val="24"/>
        </w:rPr>
        <w:t>) Personel maliyetinin beyanı ile ilgili düzenleme</w:t>
      </w:r>
    </w:p>
    <w:p w:rsidR="00DA5D11" w:rsidRDefault="008E760D" w:rsidP="008E760D">
      <w:pPr>
        <w:spacing w:after="0"/>
        <w:ind w:firstLine="567"/>
        <w:jc w:val="both"/>
        <w:rPr>
          <w:rFonts w:ascii="Times New Roman" w:hAnsi="Times New Roman"/>
          <w:szCs w:val="24"/>
        </w:rPr>
      </w:pPr>
      <w:r>
        <w:rPr>
          <w:rFonts w:ascii="Times New Roman" w:hAnsi="Times New Roman"/>
          <w:szCs w:val="24"/>
        </w:rPr>
        <w:t>Uygulama esaslarında h</w:t>
      </w:r>
      <w:r w:rsidR="00DA5D11">
        <w:rPr>
          <w:rFonts w:ascii="Times New Roman" w:hAnsi="Times New Roman"/>
          <w:szCs w:val="24"/>
        </w:rPr>
        <w:t>arcama ve gider belgelerinin düzenlenmesi, ödenmesi ve kabulü</w:t>
      </w:r>
      <w:r>
        <w:rPr>
          <w:rFonts w:ascii="Times New Roman" w:hAnsi="Times New Roman"/>
          <w:szCs w:val="24"/>
        </w:rPr>
        <w:t xml:space="preserve"> ile ilgili düzenlemeler yapılmıştır. Mevcut durumda personel maliyetleri içerisinde yer alan vergi ve SGK primlerinin TÜBİTAK’a beyan edilebilmesi için ödenmiş olma şartı bulunmaktadır. Yapılan düzenleme ile p</w:t>
      </w:r>
      <w:r w:rsidR="00DA5D11">
        <w:rPr>
          <w:rFonts w:ascii="Times New Roman" w:hAnsi="Times New Roman"/>
          <w:szCs w:val="24"/>
        </w:rPr>
        <w:t>ersonel maliyetleri içerisinde yer alan vergi ve SGK primlerinin TÜBİTAK’a beyan edilebilmesi için Muhtasar ve Prim Hizmet Beyannamesinin mali müşavir rapor tarihine kadar verilmiş olması yeterli ol</w:t>
      </w:r>
      <w:r>
        <w:rPr>
          <w:rFonts w:ascii="Times New Roman" w:hAnsi="Times New Roman"/>
          <w:szCs w:val="24"/>
        </w:rPr>
        <w:t xml:space="preserve">arak kabul edilecek, </w:t>
      </w:r>
      <w:r w:rsidR="00DA5D11">
        <w:rPr>
          <w:rFonts w:ascii="Times New Roman" w:hAnsi="Times New Roman"/>
          <w:szCs w:val="24"/>
        </w:rPr>
        <w:t>ver</w:t>
      </w:r>
      <w:r w:rsidR="00AA2EBE">
        <w:rPr>
          <w:rFonts w:ascii="Times New Roman" w:hAnsi="Times New Roman"/>
          <w:szCs w:val="24"/>
        </w:rPr>
        <w:t xml:space="preserve">gi ve SGK primlerine ait </w:t>
      </w:r>
      <w:r w:rsidR="00DA5D11">
        <w:rPr>
          <w:rFonts w:ascii="Times New Roman" w:hAnsi="Times New Roman"/>
          <w:szCs w:val="24"/>
        </w:rPr>
        <w:t>ödeme belgesi aranma</w:t>
      </w:r>
      <w:r>
        <w:rPr>
          <w:rFonts w:ascii="Times New Roman" w:hAnsi="Times New Roman"/>
          <w:szCs w:val="24"/>
        </w:rPr>
        <w:t>yacaktır</w:t>
      </w:r>
      <w:r w:rsidR="00DA5D11">
        <w:rPr>
          <w:rFonts w:ascii="Times New Roman" w:hAnsi="Times New Roman"/>
          <w:szCs w:val="24"/>
        </w:rPr>
        <w:t>.</w:t>
      </w:r>
    </w:p>
    <w:p w:rsidR="002F4D1A" w:rsidRDefault="002F4D1A" w:rsidP="008E760D">
      <w:pPr>
        <w:spacing w:after="0"/>
        <w:ind w:firstLine="567"/>
        <w:jc w:val="both"/>
        <w:rPr>
          <w:rFonts w:ascii="Times New Roman" w:hAnsi="Times New Roman"/>
          <w:szCs w:val="24"/>
        </w:rPr>
      </w:pPr>
    </w:p>
    <w:p w:rsidR="002F4D1A" w:rsidRDefault="002F4D1A" w:rsidP="002F4D1A">
      <w:pPr>
        <w:ind w:firstLine="567"/>
        <w:jc w:val="both"/>
        <w:rPr>
          <w:rFonts w:ascii="Times New Roman" w:hAnsi="Times New Roman"/>
          <w:szCs w:val="24"/>
        </w:rPr>
      </w:pPr>
      <w:r>
        <w:rPr>
          <w:rFonts w:ascii="Times New Roman" w:hAnsi="Times New Roman"/>
          <w:szCs w:val="24"/>
        </w:rPr>
        <w:t>(Değişiklik yapılan uygulama esasları: 1501, 1507, 1509, 1511, 1515, 1801 ve Yönerge)</w:t>
      </w:r>
    </w:p>
    <w:p w:rsidR="002F4D1A" w:rsidRDefault="002F4D1A" w:rsidP="008E760D">
      <w:pPr>
        <w:spacing w:after="0"/>
        <w:ind w:firstLine="567"/>
        <w:jc w:val="both"/>
        <w:rPr>
          <w:rFonts w:ascii="Times New Roman" w:hAnsi="Times New Roman"/>
          <w:szCs w:val="24"/>
        </w:rPr>
      </w:pPr>
    </w:p>
    <w:p w:rsidR="00DA5D11" w:rsidRDefault="00D031EC" w:rsidP="003B49FC">
      <w:pPr>
        <w:widowControl w:val="0"/>
        <w:autoSpaceDE w:val="0"/>
        <w:autoSpaceDN w:val="0"/>
        <w:adjustRightInd w:val="0"/>
        <w:ind w:firstLine="567"/>
        <w:jc w:val="both"/>
        <w:rPr>
          <w:rFonts w:ascii="Times New Roman" w:hAnsi="Times New Roman"/>
          <w:spacing w:val="-3"/>
          <w:szCs w:val="24"/>
        </w:rPr>
      </w:pPr>
      <w:r>
        <w:rPr>
          <w:rFonts w:ascii="Times New Roman" w:hAnsi="Times New Roman"/>
          <w:b/>
          <w:szCs w:val="24"/>
        </w:rPr>
        <w:t>4</w:t>
      </w:r>
      <w:r w:rsidR="003B49FC">
        <w:rPr>
          <w:rFonts w:ascii="Times New Roman" w:hAnsi="Times New Roman"/>
          <w:b/>
          <w:szCs w:val="24"/>
        </w:rPr>
        <w:t>) Raporların geç sunulması veya sunulmaması</w:t>
      </w:r>
    </w:p>
    <w:p w:rsidR="00DA5D11" w:rsidRDefault="00DA5D11" w:rsidP="00DA5D11">
      <w:pPr>
        <w:pStyle w:val="AralkYok"/>
        <w:ind w:firstLine="708"/>
        <w:rPr>
          <w:rFonts w:ascii="Times New Roman" w:hAnsi="Times New Roman"/>
          <w:sz w:val="24"/>
          <w:szCs w:val="24"/>
        </w:rPr>
      </w:pPr>
    </w:p>
    <w:p w:rsidR="00DA5D11" w:rsidRDefault="003B49FC" w:rsidP="00DA5D11">
      <w:pPr>
        <w:spacing w:before="36"/>
        <w:ind w:firstLine="567"/>
        <w:jc w:val="both"/>
        <w:rPr>
          <w:rFonts w:ascii="Times New Roman" w:hAnsi="Times New Roman"/>
          <w:szCs w:val="24"/>
        </w:rPr>
      </w:pPr>
      <w:r>
        <w:rPr>
          <w:rFonts w:ascii="Times New Roman" w:hAnsi="Times New Roman"/>
          <w:szCs w:val="24"/>
        </w:rPr>
        <w:t xml:space="preserve">Mevcut durumda raporların geç sunulması halinde geciken süreye bakılmaksızın %30 kesinti yapılmaktadır. Yapılan düzenleme sonrası raporların </w:t>
      </w:r>
      <w:r w:rsidR="00DA5D11">
        <w:rPr>
          <w:rFonts w:ascii="Times New Roman" w:hAnsi="Times New Roman"/>
          <w:szCs w:val="24"/>
        </w:rPr>
        <w:t>son gönderim tarihini takip eden otuz (30) gün içerisinde TÜBİTAK'a sunulması durumunda, ilgili dönemin değerlendirilmesi sonucu hesaplanan desteklemeye esas harcama tutarından geciken her gün için %1 ve en fazla %30 oranında kesinti yapıla</w:t>
      </w:r>
      <w:r>
        <w:rPr>
          <w:rFonts w:ascii="Times New Roman" w:hAnsi="Times New Roman"/>
          <w:szCs w:val="24"/>
        </w:rPr>
        <w:t xml:space="preserve">caktır. </w:t>
      </w:r>
      <w:r w:rsidR="00DA5D11">
        <w:rPr>
          <w:rFonts w:ascii="Times New Roman" w:hAnsi="Times New Roman"/>
          <w:szCs w:val="24"/>
        </w:rPr>
        <w:t xml:space="preserve">Gecikmenin otuz (30) </w:t>
      </w:r>
      <w:r w:rsidR="00AA2EBE">
        <w:rPr>
          <w:rFonts w:ascii="Times New Roman" w:hAnsi="Times New Roman"/>
          <w:szCs w:val="24"/>
        </w:rPr>
        <w:t>günü aşması durumunda veya</w:t>
      </w:r>
      <w:r w:rsidR="00DA5D11">
        <w:rPr>
          <w:rFonts w:ascii="Times New Roman" w:hAnsi="Times New Roman"/>
          <w:szCs w:val="24"/>
        </w:rPr>
        <w:t xml:space="preserve"> kuruluş tarafından projenin </w:t>
      </w:r>
      <w:r w:rsidR="00DA5D11" w:rsidRPr="000D392F">
        <w:rPr>
          <w:rFonts w:ascii="Times New Roman" w:hAnsi="Times New Roman"/>
          <w:szCs w:val="24"/>
        </w:rPr>
        <w:t xml:space="preserve">son döneminde beyan edilmeyen ancak </w:t>
      </w:r>
      <w:r w:rsidRPr="000D392F">
        <w:rPr>
          <w:rFonts w:ascii="Times New Roman" w:hAnsi="Times New Roman"/>
          <w:szCs w:val="24"/>
        </w:rPr>
        <w:t xml:space="preserve">daha sonra </w:t>
      </w:r>
      <w:r w:rsidR="00DA5D11" w:rsidRPr="000D392F">
        <w:rPr>
          <w:rFonts w:ascii="Times New Roman" w:hAnsi="Times New Roman"/>
          <w:szCs w:val="24"/>
        </w:rPr>
        <w:t xml:space="preserve">beyan edilen harcama ve giderlerin </w:t>
      </w:r>
      <w:r w:rsidR="00AA2EBE">
        <w:rPr>
          <w:rFonts w:ascii="Times New Roman" w:hAnsi="Times New Roman"/>
          <w:szCs w:val="24"/>
        </w:rPr>
        <w:t xml:space="preserve">bulunması durumunda, değerlendirme </w:t>
      </w:r>
      <w:r w:rsidR="00DA5D11" w:rsidRPr="000D392F">
        <w:rPr>
          <w:rFonts w:ascii="Times New Roman" w:hAnsi="Times New Roman"/>
          <w:szCs w:val="24"/>
        </w:rPr>
        <w:t>sonucu hesaplanan desteklemeye esas harcama tutarından yüzde otuz (%30) oranında kesinti yapıl</w:t>
      </w:r>
      <w:r w:rsidRPr="000D392F">
        <w:rPr>
          <w:rFonts w:ascii="Times New Roman" w:hAnsi="Times New Roman"/>
          <w:szCs w:val="24"/>
        </w:rPr>
        <w:t xml:space="preserve">acaktır. Geciken döneme ait harcama ve giderlerin sonraki dönemlerde sunulması durumunda da söz konusu harcama ve giderlerden yüzde otuz (%30) oranında kesinti yapılacaktır. </w:t>
      </w:r>
      <w:r w:rsidRPr="000D392F">
        <w:rPr>
          <w:rFonts w:ascii="Times New Roman" w:hAnsi="Times New Roman"/>
          <w:spacing w:val="1"/>
          <w:szCs w:val="24"/>
        </w:rPr>
        <w:t xml:space="preserve"> </w:t>
      </w:r>
    </w:p>
    <w:p w:rsidR="003B49FC" w:rsidRDefault="003B49FC" w:rsidP="003B49FC">
      <w:pPr>
        <w:ind w:firstLine="567"/>
        <w:jc w:val="both"/>
        <w:rPr>
          <w:rFonts w:ascii="Times New Roman" w:hAnsi="Times New Roman"/>
          <w:szCs w:val="24"/>
        </w:rPr>
      </w:pPr>
      <w:r>
        <w:rPr>
          <w:rFonts w:ascii="Times New Roman" w:hAnsi="Times New Roman"/>
          <w:szCs w:val="24"/>
        </w:rPr>
        <w:t>(Değişiklik yapılan uygulama esasları: 1501, 1507, 1509, 1511, 1515, 1801 ve Yönerge)</w:t>
      </w:r>
    </w:p>
    <w:p w:rsidR="003B49FC" w:rsidRDefault="003B49FC" w:rsidP="00DA5D11">
      <w:pPr>
        <w:spacing w:before="36"/>
        <w:ind w:firstLine="567"/>
        <w:jc w:val="both"/>
        <w:rPr>
          <w:rFonts w:ascii="Times New Roman" w:hAnsi="Times New Roman"/>
          <w:szCs w:val="24"/>
        </w:rPr>
      </w:pPr>
    </w:p>
    <w:p w:rsidR="003B49FC" w:rsidRDefault="00D031EC" w:rsidP="00991D78">
      <w:pPr>
        <w:widowControl w:val="0"/>
        <w:autoSpaceDE w:val="0"/>
        <w:autoSpaceDN w:val="0"/>
        <w:adjustRightInd w:val="0"/>
        <w:ind w:firstLine="567"/>
        <w:jc w:val="both"/>
        <w:rPr>
          <w:rFonts w:ascii="Times New Roman" w:hAnsi="Times New Roman"/>
          <w:szCs w:val="24"/>
        </w:rPr>
      </w:pPr>
      <w:r>
        <w:rPr>
          <w:rFonts w:ascii="Times New Roman" w:hAnsi="Times New Roman"/>
          <w:b/>
          <w:szCs w:val="24"/>
        </w:rPr>
        <w:t>5</w:t>
      </w:r>
      <w:bookmarkStart w:id="0" w:name="_GoBack"/>
      <w:bookmarkEnd w:id="0"/>
      <w:r w:rsidR="003B49FC">
        <w:rPr>
          <w:rFonts w:ascii="Times New Roman" w:hAnsi="Times New Roman"/>
          <w:b/>
          <w:szCs w:val="24"/>
        </w:rPr>
        <w:t xml:space="preserve">) </w:t>
      </w:r>
      <w:r w:rsidR="00AA2EBE">
        <w:rPr>
          <w:rFonts w:ascii="Times New Roman" w:hAnsi="Times New Roman"/>
          <w:b/>
          <w:szCs w:val="24"/>
        </w:rPr>
        <w:t>İ</w:t>
      </w:r>
      <w:r w:rsidR="00991D78">
        <w:rPr>
          <w:rFonts w:ascii="Times New Roman" w:hAnsi="Times New Roman"/>
          <w:b/>
          <w:szCs w:val="24"/>
        </w:rPr>
        <w:t>tiraz</w:t>
      </w:r>
      <w:r w:rsidR="003B49FC">
        <w:rPr>
          <w:rFonts w:ascii="Times New Roman" w:hAnsi="Times New Roman"/>
          <w:b/>
          <w:szCs w:val="24"/>
        </w:rPr>
        <w:t xml:space="preserve"> süresi</w:t>
      </w:r>
    </w:p>
    <w:p w:rsidR="00DA5D11" w:rsidRDefault="00991D78" w:rsidP="00DA5D11">
      <w:pPr>
        <w:ind w:firstLine="567"/>
        <w:jc w:val="both"/>
        <w:rPr>
          <w:rFonts w:ascii="Times New Roman" w:hAnsi="Times New Roman"/>
          <w:spacing w:val="-1"/>
          <w:szCs w:val="24"/>
        </w:rPr>
      </w:pPr>
      <w:r>
        <w:rPr>
          <w:rFonts w:ascii="Times New Roman" w:hAnsi="Times New Roman"/>
          <w:szCs w:val="24"/>
        </w:rPr>
        <w:t>P</w:t>
      </w:r>
      <w:r w:rsidR="00DA5D11">
        <w:rPr>
          <w:rFonts w:ascii="Times New Roman" w:hAnsi="Times New Roman"/>
          <w:szCs w:val="24"/>
        </w:rPr>
        <w:t xml:space="preserve">rojenin dönemsel değerlendirmelerinde TÜBİTAK tarafından kapsam dışı bırakılan harcama ve giderlere ilişkin </w:t>
      </w:r>
      <w:r>
        <w:rPr>
          <w:rFonts w:ascii="Times New Roman" w:hAnsi="Times New Roman"/>
          <w:szCs w:val="24"/>
        </w:rPr>
        <w:t>itiraz süresi 6 aydan 3 aya indirilmiştir. İtiraz süresi, p</w:t>
      </w:r>
      <w:r w:rsidR="00DA5D11">
        <w:rPr>
          <w:rFonts w:ascii="Times New Roman" w:hAnsi="Times New Roman"/>
          <w:szCs w:val="24"/>
        </w:rPr>
        <w:t>rojeye ilişkin son ödemenin, TÜBİTAK tarafından yapıldığı tarihten itibaren üç (3) ay</w:t>
      </w:r>
      <w:r>
        <w:rPr>
          <w:rFonts w:ascii="Times New Roman" w:hAnsi="Times New Roman"/>
          <w:szCs w:val="24"/>
        </w:rPr>
        <w:t xml:space="preserve"> olarak uygulanacaktır. Ancak unutulan giderler kapsamında TÜBİTAK’a harcama ve gider</w:t>
      </w:r>
      <w:r w:rsidR="00AA2EBE">
        <w:rPr>
          <w:rFonts w:ascii="Times New Roman" w:hAnsi="Times New Roman"/>
          <w:szCs w:val="24"/>
        </w:rPr>
        <w:t>ler</w:t>
      </w:r>
      <w:r>
        <w:rPr>
          <w:rFonts w:ascii="Times New Roman" w:hAnsi="Times New Roman"/>
          <w:szCs w:val="24"/>
        </w:rPr>
        <w:t xml:space="preserve">in sunulmuş olması durumunda </w:t>
      </w:r>
      <w:r w:rsidR="00DA5D11">
        <w:rPr>
          <w:rFonts w:ascii="Times New Roman" w:hAnsi="Times New Roman"/>
          <w:spacing w:val="-1"/>
          <w:szCs w:val="24"/>
        </w:rPr>
        <w:t xml:space="preserve">itiraz süresi başlangıç tarihi olarak </w:t>
      </w:r>
      <w:r>
        <w:rPr>
          <w:rFonts w:ascii="Times New Roman" w:hAnsi="Times New Roman"/>
          <w:spacing w:val="-1"/>
          <w:szCs w:val="24"/>
        </w:rPr>
        <w:t xml:space="preserve">bu çerçevede </w:t>
      </w:r>
      <w:r w:rsidR="00DA5D11">
        <w:rPr>
          <w:rFonts w:ascii="Times New Roman" w:hAnsi="Times New Roman"/>
          <w:spacing w:val="-1"/>
          <w:szCs w:val="24"/>
        </w:rPr>
        <w:t>sunulan harcama ve giderlerin öde</w:t>
      </w:r>
      <w:r>
        <w:rPr>
          <w:rFonts w:ascii="Times New Roman" w:hAnsi="Times New Roman"/>
          <w:spacing w:val="-1"/>
          <w:szCs w:val="24"/>
        </w:rPr>
        <w:t>me tarihi dikkate alınacaktır</w:t>
      </w:r>
      <w:r w:rsidR="00DA5D11">
        <w:rPr>
          <w:rFonts w:ascii="Times New Roman" w:hAnsi="Times New Roman"/>
          <w:spacing w:val="-1"/>
          <w:szCs w:val="24"/>
        </w:rPr>
        <w:t xml:space="preserve">. </w:t>
      </w:r>
    </w:p>
    <w:p w:rsidR="00B67064" w:rsidRDefault="00B67064" w:rsidP="00DA5D11">
      <w:pPr>
        <w:ind w:firstLine="567"/>
        <w:jc w:val="both"/>
        <w:rPr>
          <w:rFonts w:ascii="Times New Roman" w:hAnsi="Times New Roman"/>
          <w:spacing w:val="-1"/>
          <w:szCs w:val="24"/>
        </w:rPr>
      </w:pPr>
      <w:r>
        <w:rPr>
          <w:rFonts w:ascii="Times New Roman" w:hAnsi="Times New Roman"/>
          <w:szCs w:val="24"/>
        </w:rPr>
        <w:t>Bu de</w:t>
      </w:r>
      <w:r w:rsidR="00AA2EBE">
        <w:rPr>
          <w:rFonts w:ascii="Times New Roman" w:hAnsi="Times New Roman"/>
          <w:szCs w:val="24"/>
        </w:rPr>
        <w:t>ğişiklik</w:t>
      </w:r>
      <w:r>
        <w:rPr>
          <w:rFonts w:ascii="Times New Roman" w:hAnsi="Times New Roman"/>
          <w:szCs w:val="24"/>
        </w:rPr>
        <w:t xml:space="preserve"> 1 Temmuz 2026 tarihinden sonra yapılacak proje başvuruların</w:t>
      </w:r>
      <w:r w:rsidR="00AA2EBE">
        <w:rPr>
          <w:rFonts w:ascii="Times New Roman" w:hAnsi="Times New Roman"/>
          <w:szCs w:val="24"/>
        </w:rPr>
        <w:t>d</w:t>
      </w:r>
      <w:r>
        <w:rPr>
          <w:rFonts w:ascii="Times New Roman" w:hAnsi="Times New Roman"/>
          <w:szCs w:val="24"/>
        </w:rPr>
        <w:t>a uygulanacaktır.</w:t>
      </w:r>
    </w:p>
    <w:p w:rsidR="00991D78" w:rsidRDefault="00991D78" w:rsidP="00991D78">
      <w:pPr>
        <w:ind w:firstLine="567"/>
        <w:jc w:val="both"/>
        <w:rPr>
          <w:rFonts w:ascii="Times New Roman" w:hAnsi="Times New Roman"/>
          <w:szCs w:val="24"/>
        </w:rPr>
      </w:pPr>
      <w:r>
        <w:rPr>
          <w:rFonts w:ascii="Times New Roman" w:hAnsi="Times New Roman"/>
          <w:szCs w:val="24"/>
        </w:rPr>
        <w:t>(Değişiklik yapılan uygulama esasları: 1501, 1507, 1509, 1511, 1515, 1801 ve Yönerge)</w:t>
      </w:r>
    </w:p>
    <w:p w:rsidR="00DA5D11" w:rsidRDefault="00DA5D11" w:rsidP="00EC0553">
      <w:pPr>
        <w:shd w:val="clear" w:color="auto" w:fill="FFFFFF"/>
        <w:spacing w:after="0" w:line="240" w:lineRule="auto"/>
        <w:jc w:val="both"/>
        <w:textAlignment w:val="baseline"/>
        <w:rPr>
          <w:rFonts w:ascii="Times New Roman" w:hAnsi="Times New Roman" w:cs="Times New Roman"/>
          <w:color w:val="333333"/>
          <w:szCs w:val="24"/>
          <w:shd w:val="clear" w:color="auto" w:fill="FFFFFF"/>
        </w:rPr>
      </w:pPr>
    </w:p>
    <w:sectPr w:rsidR="00DA5D11" w:rsidSect="00D93BD3">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2BE"/>
    <w:multiLevelType w:val="multilevel"/>
    <w:tmpl w:val="1E004E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F5FF1"/>
    <w:multiLevelType w:val="multilevel"/>
    <w:tmpl w:val="B62C2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F01EC"/>
    <w:multiLevelType w:val="multilevel"/>
    <w:tmpl w:val="B64621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44225"/>
    <w:multiLevelType w:val="multilevel"/>
    <w:tmpl w:val="B32ADC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53703"/>
    <w:multiLevelType w:val="multilevel"/>
    <w:tmpl w:val="7D0CB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7321FE"/>
    <w:multiLevelType w:val="multilevel"/>
    <w:tmpl w:val="824871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8E"/>
    <w:rsid w:val="00026C46"/>
    <w:rsid w:val="000359A7"/>
    <w:rsid w:val="000D392F"/>
    <w:rsid w:val="000F30F3"/>
    <w:rsid w:val="00123D18"/>
    <w:rsid w:val="00145C2A"/>
    <w:rsid w:val="001F05FE"/>
    <w:rsid w:val="00201430"/>
    <w:rsid w:val="00233935"/>
    <w:rsid w:val="00283407"/>
    <w:rsid w:val="002B2E2A"/>
    <w:rsid w:val="002E3145"/>
    <w:rsid w:val="002F4D1A"/>
    <w:rsid w:val="0034350C"/>
    <w:rsid w:val="003B49FC"/>
    <w:rsid w:val="003D6108"/>
    <w:rsid w:val="00425F19"/>
    <w:rsid w:val="004E438F"/>
    <w:rsid w:val="005A0435"/>
    <w:rsid w:val="005C078E"/>
    <w:rsid w:val="005D5074"/>
    <w:rsid w:val="006614E4"/>
    <w:rsid w:val="0073574B"/>
    <w:rsid w:val="007D2CF5"/>
    <w:rsid w:val="008D1F0B"/>
    <w:rsid w:val="008E760D"/>
    <w:rsid w:val="00951AE7"/>
    <w:rsid w:val="00991D78"/>
    <w:rsid w:val="00A1691B"/>
    <w:rsid w:val="00A47CB0"/>
    <w:rsid w:val="00A87569"/>
    <w:rsid w:val="00AA2EBE"/>
    <w:rsid w:val="00B67064"/>
    <w:rsid w:val="00C07D16"/>
    <w:rsid w:val="00C2142D"/>
    <w:rsid w:val="00CA6725"/>
    <w:rsid w:val="00D019F6"/>
    <w:rsid w:val="00D031EC"/>
    <w:rsid w:val="00D06A7B"/>
    <w:rsid w:val="00D464DA"/>
    <w:rsid w:val="00D93BD3"/>
    <w:rsid w:val="00DA5D11"/>
    <w:rsid w:val="00E05398"/>
    <w:rsid w:val="00E30480"/>
    <w:rsid w:val="00E454AE"/>
    <w:rsid w:val="00E54993"/>
    <w:rsid w:val="00E74939"/>
    <w:rsid w:val="00E9788A"/>
    <w:rsid w:val="00EC0553"/>
    <w:rsid w:val="00F10A03"/>
    <w:rsid w:val="00F477CD"/>
    <w:rsid w:val="00FB7F72"/>
    <w:rsid w:val="00FE6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99C4"/>
  <w15:chartTrackingRefBased/>
  <w15:docId w15:val="{85ADE8D5-9565-408F-A0B2-9773ED5F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0B"/>
  </w:style>
  <w:style w:type="paragraph" w:styleId="Balk2">
    <w:name w:val="heading 2"/>
    <w:basedOn w:val="Normal"/>
    <w:link w:val="Balk2Char"/>
    <w:uiPriority w:val="1"/>
    <w:semiHidden/>
    <w:unhideWhenUsed/>
    <w:qFormat/>
    <w:rsid w:val="00DA5D11"/>
    <w:pPr>
      <w:widowControl w:val="0"/>
      <w:autoSpaceDE w:val="0"/>
      <w:autoSpaceDN w:val="0"/>
      <w:spacing w:after="0" w:line="240" w:lineRule="auto"/>
      <w:ind w:left="538"/>
      <w:jc w:val="both"/>
      <w:outlineLvl w:val="1"/>
    </w:pPr>
    <w:rPr>
      <w:rFonts w:ascii="Times New Roman" w:eastAsia="Times New Roman" w:hAnsi="Times New Roman" w:cs="Times New Roman"/>
      <w:b/>
      <w:b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C0553"/>
    <w:pPr>
      <w:spacing w:before="100" w:beforeAutospacing="1" w:after="100" w:afterAutospacing="1" w:line="240" w:lineRule="auto"/>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FB7F72"/>
    <w:pPr>
      <w:ind w:left="720"/>
      <w:contextualSpacing/>
    </w:pPr>
  </w:style>
  <w:style w:type="character" w:customStyle="1" w:styleId="Balk2Char">
    <w:name w:val="Başlık 2 Char"/>
    <w:basedOn w:val="VarsaylanParagrafYazTipi"/>
    <w:link w:val="Balk2"/>
    <w:uiPriority w:val="1"/>
    <w:semiHidden/>
    <w:rsid w:val="00DA5D11"/>
    <w:rPr>
      <w:rFonts w:ascii="Times New Roman" w:eastAsia="Times New Roman" w:hAnsi="Times New Roman" w:cs="Times New Roman"/>
      <w:b/>
      <w:bCs/>
      <w:szCs w:val="24"/>
    </w:rPr>
  </w:style>
  <w:style w:type="character" w:styleId="Kpr">
    <w:name w:val="Hyperlink"/>
    <w:basedOn w:val="VarsaylanParagrafYazTipi"/>
    <w:uiPriority w:val="99"/>
    <w:unhideWhenUsed/>
    <w:rsid w:val="00DA5D11"/>
    <w:rPr>
      <w:color w:val="0563C1" w:themeColor="hyperlink"/>
      <w:u w:val="single"/>
    </w:rPr>
  </w:style>
  <w:style w:type="character" w:styleId="zlenenKpr">
    <w:name w:val="FollowedHyperlink"/>
    <w:basedOn w:val="VarsaylanParagrafYazTipi"/>
    <w:uiPriority w:val="99"/>
    <w:semiHidden/>
    <w:unhideWhenUsed/>
    <w:rsid w:val="00DA5D11"/>
    <w:rPr>
      <w:color w:val="954F72" w:themeColor="followedHyperlink"/>
      <w:u w:val="single"/>
    </w:rPr>
  </w:style>
  <w:style w:type="paragraph" w:customStyle="1" w:styleId="msonormal0">
    <w:name w:val="msonormal"/>
    <w:basedOn w:val="Normal"/>
    <w:uiPriority w:val="99"/>
    <w:semiHidden/>
    <w:rsid w:val="00DA5D11"/>
    <w:pPr>
      <w:spacing w:before="100" w:beforeAutospacing="1" w:after="100" w:afterAutospacing="1" w:line="240" w:lineRule="auto"/>
    </w:pPr>
    <w:rPr>
      <w:rFonts w:ascii="Times New Roman" w:eastAsia="Times New Roman" w:hAnsi="Times New Roman" w:cs="Times New Roman"/>
      <w:szCs w:val="24"/>
      <w:lang w:eastAsia="tr-TR"/>
    </w:rPr>
  </w:style>
  <w:style w:type="paragraph" w:styleId="AklamaMetni">
    <w:name w:val="annotation text"/>
    <w:basedOn w:val="Normal"/>
    <w:link w:val="AklamaMetniChar"/>
    <w:uiPriority w:val="99"/>
    <w:semiHidden/>
    <w:unhideWhenUsed/>
    <w:rsid w:val="00DA5D11"/>
    <w:pPr>
      <w:spacing w:after="200" w:line="240" w:lineRule="auto"/>
    </w:pPr>
    <w:rPr>
      <w:rFonts w:ascii="Calibri" w:eastAsia="Times New Roman" w:hAnsi="Calibri" w:cs="Times New Roman"/>
      <w:sz w:val="20"/>
      <w:szCs w:val="20"/>
      <w:lang w:eastAsia="tr-TR"/>
    </w:rPr>
  </w:style>
  <w:style w:type="character" w:customStyle="1" w:styleId="AklamaMetniChar">
    <w:name w:val="Açıklama Metni Char"/>
    <w:basedOn w:val="VarsaylanParagrafYazTipi"/>
    <w:link w:val="AklamaMetni"/>
    <w:uiPriority w:val="99"/>
    <w:semiHidden/>
    <w:rsid w:val="00DA5D11"/>
    <w:rPr>
      <w:rFonts w:ascii="Calibri" w:eastAsia="Times New Roman" w:hAnsi="Calibri" w:cs="Times New Roman"/>
      <w:sz w:val="20"/>
      <w:szCs w:val="20"/>
      <w:lang w:eastAsia="tr-TR"/>
    </w:rPr>
  </w:style>
  <w:style w:type="paragraph" w:styleId="stBilgi">
    <w:name w:val="header"/>
    <w:basedOn w:val="Normal"/>
    <w:link w:val="stBilgiChar"/>
    <w:uiPriority w:val="99"/>
    <w:semiHidden/>
    <w:unhideWhenUsed/>
    <w:rsid w:val="00DA5D11"/>
    <w:pPr>
      <w:tabs>
        <w:tab w:val="center" w:pos="4536"/>
        <w:tab w:val="right" w:pos="9072"/>
      </w:tabs>
      <w:spacing w:after="0" w:line="240" w:lineRule="auto"/>
    </w:pPr>
    <w:rPr>
      <w:rFonts w:ascii="Calibri" w:eastAsia="Times New Roman" w:hAnsi="Calibri" w:cs="Times New Roman"/>
      <w:sz w:val="22"/>
      <w:lang w:eastAsia="tr-TR"/>
    </w:rPr>
  </w:style>
  <w:style w:type="character" w:customStyle="1" w:styleId="stBilgiChar">
    <w:name w:val="Üst Bilgi Char"/>
    <w:basedOn w:val="VarsaylanParagrafYazTipi"/>
    <w:link w:val="stBilgi"/>
    <w:uiPriority w:val="99"/>
    <w:semiHidden/>
    <w:rsid w:val="00DA5D11"/>
    <w:rPr>
      <w:rFonts w:ascii="Calibri" w:eastAsia="Times New Roman" w:hAnsi="Calibri" w:cs="Times New Roman"/>
      <w:sz w:val="22"/>
      <w:lang w:eastAsia="tr-TR"/>
    </w:rPr>
  </w:style>
  <w:style w:type="paragraph" w:styleId="AltBilgi">
    <w:name w:val="footer"/>
    <w:basedOn w:val="Normal"/>
    <w:link w:val="AltBilgiChar"/>
    <w:uiPriority w:val="99"/>
    <w:semiHidden/>
    <w:unhideWhenUsed/>
    <w:rsid w:val="00DA5D11"/>
    <w:pPr>
      <w:tabs>
        <w:tab w:val="center" w:pos="4536"/>
        <w:tab w:val="right" w:pos="9072"/>
      </w:tabs>
      <w:spacing w:after="0" w:line="240" w:lineRule="auto"/>
    </w:pPr>
    <w:rPr>
      <w:rFonts w:ascii="Calibri" w:eastAsia="Times New Roman" w:hAnsi="Calibri" w:cs="Times New Roman"/>
      <w:sz w:val="22"/>
      <w:lang w:eastAsia="tr-TR"/>
    </w:rPr>
  </w:style>
  <w:style w:type="character" w:customStyle="1" w:styleId="AltBilgiChar">
    <w:name w:val="Alt Bilgi Char"/>
    <w:basedOn w:val="VarsaylanParagrafYazTipi"/>
    <w:link w:val="AltBilgi"/>
    <w:uiPriority w:val="99"/>
    <w:semiHidden/>
    <w:rsid w:val="00DA5D11"/>
    <w:rPr>
      <w:rFonts w:ascii="Calibri" w:eastAsia="Times New Roman" w:hAnsi="Calibri" w:cs="Times New Roman"/>
      <w:sz w:val="22"/>
      <w:lang w:eastAsia="tr-TR"/>
    </w:rPr>
  </w:style>
  <w:style w:type="paragraph" w:styleId="GvdeMetni">
    <w:name w:val="Body Text"/>
    <w:basedOn w:val="Normal"/>
    <w:link w:val="GvdeMetniChar"/>
    <w:uiPriority w:val="1"/>
    <w:semiHidden/>
    <w:unhideWhenUsed/>
    <w:qFormat/>
    <w:rsid w:val="00DA5D11"/>
    <w:pPr>
      <w:widowControl w:val="0"/>
      <w:autoSpaceDE w:val="0"/>
      <w:autoSpaceDN w:val="0"/>
      <w:spacing w:after="0" w:line="240" w:lineRule="auto"/>
      <w:ind w:left="118"/>
      <w:jc w:val="both"/>
    </w:pPr>
    <w:rPr>
      <w:rFonts w:ascii="Times New Roman" w:eastAsia="Times New Roman" w:hAnsi="Times New Roman" w:cs="Times New Roman"/>
      <w:szCs w:val="24"/>
    </w:rPr>
  </w:style>
  <w:style w:type="character" w:customStyle="1" w:styleId="GvdeMetniChar">
    <w:name w:val="Gövde Metni Char"/>
    <w:basedOn w:val="VarsaylanParagrafYazTipi"/>
    <w:link w:val="GvdeMetni"/>
    <w:uiPriority w:val="1"/>
    <w:semiHidden/>
    <w:rsid w:val="00DA5D11"/>
    <w:rPr>
      <w:rFonts w:ascii="Times New Roman" w:eastAsia="Times New Roman" w:hAnsi="Times New Roman" w:cs="Times New Roman"/>
      <w:szCs w:val="24"/>
    </w:rPr>
  </w:style>
  <w:style w:type="paragraph" w:styleId="AklamaKonusu">
    <w:name w:val="annotation subject"/>
    <w:basedOn w:val="AklamaMetni"/>
    <w:next w:val="AklamaMetni"/>
    <w:link w:val="AklamaKonusuChar"/>
    <w:uiPriority w:val="99"/>
    <w:semiHidden/>
    <w:unhideWhenUsed/>
    <w:rsid w:val="00DA5D11"/>
    <w:rPr>
      <w:b/>
      <w:bCs/>
    </w:rPr>
  </w:style>
  <w:style w:type="character" w:customStyle="1" w:styleId="AklamaKonusuChar">
    <w:name w:val="Açıklama Konusu Char"/>
    <w:basedOn w:val="AklamaMetniChar"/>
    <w:link w:val="AklamaKonusu"/>
    <w:uiPriority w:val="99"/>
    <w:semiHidden/>
    <w:rsid w:val="00DA5D11"/>
    <w:rPr>
      <w:rFonts w:ascii="Calibri" w:eastAsia="Times New Roman" w:hAnsi="Calibri" w:cs="Times New Roman"/>
      <w:b/>
      <w:bCs/>
      <w:sz w:val="20"/>
      <w:szCs w:val="20"/>
      <w:lang w:eastAsia="tr-TR"/>
    </w:rPr>
  </w:style>
  <w:style w:type="paragraph" w:styleId="BalonMetni">
    <w:name w:val="Balloon Text"/>
    <w:basedOn w:val="Normal"/>
    <w:link w:val="BalonMetniChar"/>
    <w:uiPriority w:val="99"/>
    <w:semiHidden/>
    <w:unhideWhenUsed/>
    <w:rsid w:val="00DA5D11"/>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DA5D11"/>
    <w:rPr>
      <w:rFonts w:ascii="Segoe UI" w:eastAsia="Times New Roman" w:hAnsi="Segoe UI" w:cs="Segoe UI"/>
      <w:sz w:val="18"/>
      <w:szCs w:val="18"/>
      <w:lang w:eastAsia="tr-TR"/>
    </w:rPr>
  </w:style>
  <w:style w:type="paragraph" w:styleId="AralkYok">
    <w:name w:val="No Spacing"/>
    <w:uiPriority w:val="1"/>
    <w:qFormat/>
    <w:rsid w:val="00DA5D11"/>
    <w:pPr>
      <w:spacing w:after="0" w:line="240" w:lineRule="auto"/>
    </w:pPr>
    <w:rPr>
      <w:rFonts w:ascii="Calibri" w:eastAsia="Times New Roman" w:hAnsi="Calibri" w:cs="Times New Roman"/>
      <w:sz w:val="22"/>
      <w:lang w:eastAsia="tr-TR"/>
    </w:rPr>
  </w:style>
  <w:style w:type="paragraph" w:styleId="Dzeltme">
    <w:name w:val="Revision"/>
    <w:uiPriority w:val="99"/>
    <w:semiHidden/>
    <w:rsid w:val="00DA5D11"/>
    <w:pPr>
      <w:spacing w:after="0" w:line="240" w:lineRule="auto"/>
    </w:pPr>
    <w:rPr>
      <w:rFonts w:ascii="Calibri" w:eastAsia="Times New Roman" w:hAnsi="Calibri" w:cs="Times New Roman"/>
      <w:sz w:val="22"/>
      <w:lang w:eastAsia="tr-TR"/>
    </w:rPr>
  </w:style>
  <w:style w:type="character" w:styleId="AklamaBavurusu">
    <w:name w:val="annotation reference"/>
    <w:basedOn w:val="VarsaylanParagrafYazTipi"/>
    <w:uiPriority w:val="99"/>
    <w:semiHidden/>
    <w:unhideWhenUsed/>
    <w:rsid w:val="00DA5D11"/>
    <w:rPr>
      <w:sz w:val="16"/>
      <w:szCs w:val="16"/>
    </w:rPr>
  </w:style>
  <w:style w:type="character" w:customStyle="1" w:styleId="fontstyle01">
    <w:name w:val="fontstyle01"/>
    <w:basedOn w:val="VarsaylanParagrafYazTipi"/>
    <w:rsid w:val="00DA5D11"/>
    <w:rPr>
      <w:rFonts w:ascii="TimesNewRomanPSMT" w:hAnsi="TimesNewRomanPSMT" w:hint="default"/>
      <w:b w:val="0"/>
      <w:bCs w:val="0"/>
      <w:i w:val="0"/>
      <w:iCs w:val="0"/>
      <w:color w:val="000000"/>
      <w:sz w:val="24"/>
      <w:szCs w:val="24"/>
    </w:rPr>
  </w:style>
  <w:style w:type="character" w:customStyle="1" w:styleId="grame">
    <w:name w:val="grame"/>
    <w:basedOn w:val="VarsaylanParagrafYazTipi"/>
    <w:rsid w:val="00DA5D11"/>
  </w:style>
  <w:style w:type="character" w:customStyle="1" w:styleId="Normal1">
    <w:name w:val="Normal1"/>
    <w:rsid w:val="00DA5D11"/>
    <w:rPr>
      <w:rFonts w:ascii="Times New Roman" w:eastAsia="Times New Roman" w:hAnsi="Times New Roman" w:cs="Times New Roman" w:hint="default"/>
      <w:noProof w:val="0"/>
      <w:sz w:val="24"/>
      <w:lang w:val="en-GB"/>
    </w:rPr>
  </w:style>
  <w:style w:type="character" w:customStyle="1" w:styleId="object">
    <w:name w:val="object"/>
    <w:rsid w:val="00DA5D11"/>
  </w:style>
  <w:style w:type="table" w:styleId="TabloKlavuzu">
    <w:name w:val="Table Grid"/>
    <w:basedOn w:val="NormalTablo"/>
    <w:uiPriority w:val="59"/>
    <w:rsid w:val="00DA5D11"/>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6445">
      <w:bodyDiv w:val="1"/>
      <w:marLeft w:val="0"/>
      <w:marRight w:val="0"/>
      <w:marTop w:val="0"/>
      <w:marBottom w:val="0"/>
      <w:divBdr>
        <w:top w:val="none" w:sz="0" w:space="0" w:color="auto"/>
        <w:left w:val="none" w:sz="0" w:space="0" w:color="auto"/>
        <w:bottom w:val="none" w:sz="0" w:space="0" w:color="auto"/>
        <w:right w:val="none" w:sz="0" w:space="0" w:color="auto"/>
      </w:divBdr>
    </w:div>
    <w:div w:id="182060903">
      <w:bodyDiv w:val="1"/>
      <w:marLeft w:val="0"/>
      <w:marRight w:val="0"/>
      <w:marTop w:val="0"/>
      <w:marBottom w:val="0"/>
      <w:divBdr>
        <w:top w:val="none" w:sz="0" w:space="0" w:color="auto"/>
        <w:left w:val="none" w:sz="0" w:space="0" w:color="auto"/>
        <w:bottom w:val="none" w:sz="0" w:space="0" w:color="auto"/>
        <w:right w:val="none" w:sz="0" w:space="0" w:color="auto"/>
      </w:divBdr>
    </w:div>
    <w:div w:id="1200556773">
      <w:bodyDiv w:val="1"/>
      <w:marLeft w:val="0"/>
      <w:marRight w:val="0"/>
      <w:marTop w:val="0"/>
      <w:marBottom w:val="0"/>
      <w:divBdr>
        <w:top w:val="none" w:sz="0" w:space="0" w:color="auto"/>
        <w:left w:val="none" w:sz="0" w:space="0" w:color="auto"/>
        <w:bottom w:val="none" w:sz="0" w:space="0" w:color="auto"/>
        <w:right w:val="none" w:sz="0" w:space="0" w:color="auto"/>
      </w:divBdr>
    </w:div>
    <w:div w:id="1238829299">
      <w:bodyDiv w:val="1"/>
      <w:marLeft w:val="0"/>
      <w:marRight w:val="0"/>
      <w:marTop w:val="0"/>
      <w:marBottom w:val="0"/>
      <w:divBdr>
        <w:top w:val="none" w:sz="0" w:space="0" w:color="auto"/>
        <w:left w:val="none" w:sz="0" w:space="0" w:color="auto"/>
        <w:bottom w:val="none" w:sz="0" w:space="0" w:color="auto"/>
        <w:right w:val="none" w:sz="0" w:space="0" w:color="auto"/>
      </w:divBdr>
    </w:div>
    <w:div w:id="1551841521">
      <w:bodyDiv w:val="1"/>
      <w:marLeft w:val="0"/>
      <w:marRight w:val="0"/>
      <w:marTop w:val="0"/>
      <w:marBottom w:val="0"/>
      <w:divBdr>
        <w:top w:val="none" w:sz="0" w:space="0" w:color="auto"/>
        <w:left w:val="none" w:sz="0" w:space="0" w:color="auto"/>
        <w:bottom w:val="none" w:sz="0" w:space="0" w:color="auto"/>
        <w:right w:val="none" w:sz="0" w:space="0" w:color="auto"/>
      </w:divBdr>
    </w:div>
    <w:div w:id="1729373750">
      <w:bodyDiv w:val="1"/>
      <w:marLeft w:val="0"/>
      <w:marRight w:val="0"/>
      <w:marTop w:val="0"/>
      <w:marBottom w:val="0"/>
      <w:divBdr>
        <w:top w:val="none" w:sz="0" w:space="0" w:color="auto"/>
        <w:left w:val="none" w:sz="0" w:space="0" w:color="auto"/>
        <w:bottom w:val="none" w:sz="0" w:space="0" w:color="auto"/>
        <w:right w:val="none" w:sz="0" w:space="0" w:color="auto"/>
      </w:divBdr>
    </w:div>
    <w:div w:id="1912957546">
      <w:bodyDiv w:val="1"/>
      <w:marLeft w:val="0"/>
      <w:marRight w:val="0"/>
      <w:marTop w:val="0"/>
      <w:marBottom w:val="0"/>
      <w:divBdr>
        <w:top w:val="none" w:sz="0" w:space="0" w:color="auto"/>
        <w:left w:val="none" w:sz="0" w:space="0" w:color="auto"/>
        <w:bottom w:val="none" w:sz="0" w:space="0" w:color="auto"/>
        <w:right w:val="none" w:sz="0" w:space="0" w:color="auto"/>
      </w:divBdr>
    </w:div>
    <w:div w:id="19208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AYDINHAN</dc:creator>
  <cp:keywords/>
  <dc:description/>
  <cp:lastModifiedBy>mehmet ali aydinhan</cp:lastModifiedBy>
  <cp:revision>3</cp:revision>
  <cp:lastPrinted>2026-01-21T07:08:00Z</cp:lastPrinted>
  <dcterms:created xsi:type="dcterms:W3CDTF">2026-02-09T06:09:00Z</dcterms:created>
  <dcterms:modified xsi:type="dcterms:W3CDTF">2026-02-09T06:10:00Z</dcterms:modified>
</cp:coreProperties>
</file>